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MODELO RELACIONAL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Es un modelo que fue propuesto por Edgar Frank Codd mientras trabajaba en los laboratorios de IBM.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 estructura es la siguiente: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1875"/>
        <w:gridCol w:w="2295"/>
        <w:gridCol w:w="2700"/>
        <w:tblGridChange w:id="0">
          <w:tblGrid>
            <w:gridCol w:w="2160"/>
            <w:gridCol w:w="1875"/>
            <w:gridCol w:w="2295"/>
            <w:gridCol w:w="2700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Tabla o relación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Atributos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Tuplas/registros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PPPérez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C/ Roca</w:t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000000" w:space="0" w:sz="8" w:val="dashed"/>
              <w:left w:color="000000" w:space="0" w:sz="8" w:val="dashed"/>
              <w:bottom w:color="000000" w:space="0" w:sz="8" w:val="dash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AAÁlvarez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XXXXXXJ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C/ Piedra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Una tabla también se puede llamar relación.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Cada tupla se corresponde con un objeto del mundo real. No pueden haber dos tuplas iguales.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El dominio son los valores que puede tomar un atributo.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El grado es el número de atributos que tiene la tabla. O lo que es lo mismo, el número de columnas que tiene.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La cardinalidad es el número de filas que hay en la tabla. O lo que es lo mismo, el número de filas que tiene.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Todas las tablas tienen que tener un nombre distinto. Sus atributos tienen que ser atómicos, es decir que sus dominios deben ser atómicos.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Una tupla no puede tener dos valores para el mismo campo.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Hay varios tipos de tablas: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Persistentes</w:t>
      </w:r>
      <w:r w:rsidDel="00000000" w:rsidR="00000000" w:rsidRPr="00000000">
        <w:rPr>
          <w:rtl w:val="0"/>
        </w:rPr>
        <w:t xml:space="preserve"> (no se modifican una vez creadas, a no ser que el usuario que gestiona la BBDD lo desee)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Vistas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Instantáneas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Temporales </w:t>
      </w:r>
      <w:r w:rsidDel="00000000" w:rsidR="00000000" w:rsidRPr="00000000">
        <w:rPr>
          <w:rtl w:val="0"/>
        </w:rPr>
        <w:t xml:space="preserve">(creadas y destruidas por el sistema cuando se hacen consultas)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Tipos de datos: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Texto:</w:t>
      </w:r>
      <w:r w:rsidDel="00000000" w:rsidR="00000000" w:rsidRPr="00000000">
        <w:rPr>
          <w:rtl w:val="0"/>
        </w:rPr>
        <w:t xml:space="preserve"> Almacena cadenas de caracteres.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Numérico: </w:t>
      </w:r>
      <w:r w:rsidDel="00000000" w:rsidR="00000000" w:rsidRPr="00000000">
        <w:rPr>
          <w:rtl w:val="0"/>
        </w:rPr>
        <w:t xml:space="preserve">Almacena números.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Fecha/hora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Verdadero/Falso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Autonumérico: </w:t>
      </w:r>
      <w:r w:rsidDel="00000000" w:rsidR="00000000" w:rsidRPr="00000000">
        <w:rPr>
          <w:rtl w:val="0"/>
        </w:rPr>
        <w:t xml:space="preserve">Es un campo numérico auto-incrementado.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Memo: </w:t>
      </w:r>
      <w:r w:rsidDel="00000000" w:rsidR="00000000" w:rsidRPr="00000000">
        <w:rPr>
          <w:rtl w:val="0"/>
        </w:rPr>
        <w:t xml:space="preserve">Tipo texto largo.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Blob:</w:t>
      </w:r>
      <w:r w:rsidDel="00000000" w:rsidR="00000000" w:rsidRPr="00000000">
        <w:rPr>
          <w:rtl w:val="0"/>
        </w:rPr>
        <w:t xml:space="preserve"> Guarda objetos de tipo binario.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Claves: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Superclaves: </w:t>
      </w:r>
      <w:r w:rsidDel="00000000" w:rsidR="00000000" w:rsidRPr="00000000">
        <w:rPr>
          <w:rtl w:val="0"/>
        </w:rPr>
        <w:t xml:space="preserve">Conjunto de atributos que identifica de forma única a un elemento de la tabla.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Candidatas:</w:t>
      </w:r>
      <w:r w:rsidDel="00000000" w:rsidR="00000000" w:rsidRPr="00000000">
        <w:rPr>
          <w:rtl w:val="0"/>
        </w:rPr>
        <w:t xml:space="preserve"> Posibles claves primarias.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Primarias:</w:t>
      </w:r>
      <w:r w:rsidDel="00000000" w:rsidR="00000000" w:rsidRPr="00000000">
        <w:rPr>
          <w:rtl w:val="0"/>
        </w:rPr>
        <w:t xml:space="preserve"> Único atributo que identifica de forma única a un elemento de la tabla.</w:t>
      </w:r>
    </w:p>
    <w:p w:rsidR="00000000" w:rsidDel="00000000" w:rsidP="00000000" w:rsidRDefault="00000000" w:rsidRPr="00000000" w14:paraId="0000003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Unique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 null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Foreign key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Alternativas:</w:t>
      </w:r>
      <w:r w:rsidDel="00000000" w:rsidR="00000000" w:rsidRPr="00000000">
        <w:rPr>
          <w:rtl w:val="0"/>
        </w:rPr>
        <w:t xml:space="preserve"> Claves candidatas no elegidas como primarias.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Foráneas/Ajenas:</w:t>
      </w:r>
      <w:r w:rsidDel="00000000" w:rsidR="00000000" w:rsidRPr="00000000">
        <w:rPr>
          <w:rtl w:val="0"/>
        </w:rPr>
        <w:t xml:space="preserve"> Claves que relacionan datos de distintas tablas de forma que no haya redundancia creando varias veces los mismos registros en distintas relaciones/tablas.</w:t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