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TRANSACCIONES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hacer un paso de dinero entre dos cuentas bancarias, la forma más cómoda y segura de hacerlo es usando transacciones. Esto permite que, en caso de corte o fallo en el funcionamiento del sistema, no se pierda el dinero que se está intentando transferir.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este modo, cuando se produce el corte, todo el progreso que se haya cumplido en la transferencia será cancelado.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sintaxis básica de las transferencias es la siguiente: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autocommit=0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 TRANSACTION </w:t>
      </w:r>
      <w:commentRangeStart w:id="0"/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&lt;&lt;BEGIN WORK // BEGIN&gt;&gt;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</w:t>
      </w:r>
      <w:commentRangeStart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@orderNumber:=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MAX(orderNumber)+1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Orders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Orders(orderNumber, orderDate, requiredDate, shippedDate, status, </w:t>
      </w:r>
    </w:p>
    <w:p w:rsidR="00000000" w:rsidDel="00000000" w:rsidP="00000000" w:rsidRDefault="00000000" w:rsidRPr="00000000" w14:paraId="0000000C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customerNumber)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(@orderNumber, ‘2005-05-31’, ‘2005-06-10’, ‘2005-06-11’, ‘In 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Process’, 145)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i w:val="1"/>
        </w:rPr>
      </w:pPr>
      <w:commentRangeStart w:id="2"/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&lt;&lt;SAVEPOINT identificador&gt;&gt;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orderDetails(orderNumber, productCode, quantity, </w:t>
      </w:r>
    </w:p>
    <w:p w:rsidR="00000000" w:rsidDel="00000000" w:rsidP="00000000" w:rsidRDefault="00000000" w:rsidRPr="00000000" w14:paraId="00000011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ordered, priceEach, orderLineNumber)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(@orderNmuber, ‘S18_1749’, 30, ‘136’, 1),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(@orderNmuber, S18_2248’, 50, ‘55.09’, 2),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</w:t>
      </w:r>
      <w:commentRangeStart w:id="3"/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&lt;&lt;ROLLBACK &lt;&lt;identificador&gt;&gt; &gt;&gt;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</w:t>
      </w:r>
      <w:commentRangeStart w:id="4"/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&lt;&lt;RELEASE SAVEPOINT &lt;&lt;identificador&gt;&gt; &gt;&gt;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 una entrada resumida de los valores de una tabla, por ejemplo, si hay una tabla en la que el campo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es numérico, y queremos recuperar todas las filas que tienen el número 7 en el campo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MySQL se apoya en el índice de la tabla, el cual sabe el rango de filas (registros) que contienen el número 7 en su campo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450"/>
        <w:gridCol w:w="2730"/>
        <w:gridCol w:w="2985"/>
        <w:tblGridChange w:id="0">
          <w:tblGrid>
            <w:gridCol w:w="2865"/>
            <w:gridCol w:w="450"/>
            <w:gridCol w:w="2730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[ÍNDICE] Empiezan por: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</w:tr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 índice se puede crear manualmente de la siguiente manera: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INDEX nombre_indice ON nombre_tabla(nombre_campo);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 pueden ver los índices que hay creados sobre una tabla de la siguiente manera: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INDEXES FROM nombre_tabla;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 eliminan índices de la siguiente forma: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INDEX nombre_indice ON nombre_tabla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&lt;&lt;</w:t>
      </w:r>
      <w:commentRangeStart w:id="5"/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algorithm_option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| </w:t>
      </w:r>
      <w:commentRangeStart w:id="6"/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lock_option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ver los índices que hay creados sobre una tabla se puede usar: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INDEXES FROM nombre_tabla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nombre_bd;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ó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INDEXES FROM nombre_bd.nombre_tabla;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 pueden poner condiciones a la selección de índices: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 INDEXES FOM nombre_tabla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condición;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e RB" w:id="2" w:date="2020-02-18T11:02:50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 de guardado que se restaura cuando hacemos ROLLBACK, si no existe punto de guardado, el ROLLBACK se hace completo</w:t>
      </w:r>
    </w:p>
  </w:comment>
  <w:comment w:author="Jose RB" w:id="5" w:date="2020-02-19T11:40:48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 = [DEFAULT | INPLACE | COPY] Cambia el algoritmo de borrado del índice</w:t>
      </w:r>
    </w:p>
  </w:comment>
  <w:comment w:author="Jose RB" w:id="6" w:date="2020-02-19T11:43:49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= [DEFAULT | NONE | SHARED | EXCLUSIVE] Bloquea la lectura y escritura (en paralelo) de la tabla mientras se reconstruye</w:t>
      </w:r>
    </w:p>
  </w:comment>
  <w:comment w:author="Jose RB" w:id="1" w:date="2020-02-18T10:54:5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variables en SQL</w:t>
      </w:r>
    </w:p>
  </w:comment>
  <w:comment w:author="Jose RB" w:id="4" w:date="2020-02-18T11:05:0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un punto de guardado con el identificador indicado</w:t>
      </w:r>
    </w:p>
  </w:comment>
  <w:comment w:author="Jose RB" w:id="3" w:date="2020-02-18T11:03:0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último punto de guardado. Si se le añade un identificador, hará la restauración en el punto de guardado con dicho id</w:t>
      </w:r>
    </w:p>
  </w:comment>
  <w:comment w:author="Jose RB" w:id="0" w:date="2020-02-18T11:02:17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TRANSACTION es lo mismo que BEGIN WORK o BEGIN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i w:val="1"/>
      </w:rPr>
    </w:pPr>
    <w:r w:rsidDel="00000000" w:rsidR="00000000" w:rsidRPr="00000000">
      <w:rPr>
        <w:b w:val="1"/>
        <w:rtl w:val="0"/>
      </w:rPr>
      <w:t xml:space="preserve">BBDD - Transacciones e Índices</w:t>
    </w:r>
    <w:r w:rsidDel="00000000" w:rsidR="00000000" w:rsidRPr="00000000">
      <w:rPr>
        <w:i w:val="1"/>
        <w:rtl w:val="0"/>
      </w:rPr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