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864"/>
          <w:sz w:val="40"/>
          <w:szCs w:val="40"/>
        </w:rPr>
        <w:t xml:space="preserve">MEMORIA DE CÁLCULO ESTRUCTURAL</w:t>
      </w:r>
    </w:p>
    <w:p>
      <w:pPr>
        <w:spacing w:after="40"/>
        <w:jc w:val="center"/>
      </w:pPr>
      <w:r>
        <w:rPr>
          <w:color w:val="2E75B6"/>
          <w:sz w:val="28"/>
          <w:szCs w:val="28"/>
        </w:rPr>
        <w:t xml:space="preserve">Caso 2 — Forjado: losa de hormigón sobre vigas de acero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Losa unidireccional C30/37 (t = 120 mm) sobre dos vigas IPE 400 (S275)</w:t>
      </w:r>
    </w:p>
    <w:p>
      <w:pPr>
        <w:spacing w:after="120" w:before="80"/>
        <w:jc w:val="center"/>
      </w:pPr>
      <w:r>
        <w:drawing>
          <wp:inline distT="0" distB="0" distL="0" distR="0">
            <wp:extent cx="4476750" cy="3200400"/>
            <wp:effectExtent t="0" r="0" b="0" l="0"/>
            <wp:docPr id="1" name="Planta del forjado" descr="Planta del forjado" title="Planta del forj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Motor de cálculo estructural IFC → FEM → Eurocódigos · v0.4.0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Predimensionado — a revisar y firmar por técnico competente</w:t>
      </w:r>
    </w:p>
    <w:p>
      <w:pPr>
        <w:pageBreakBefore/>
      </w:pPr>
    </w:p>
    <w:p>
      <w:pPr>
        <w:pStyle w:val="Heading1"/>
      </w:pPr>
      <w:r>
        <w:t xml:space="preserve">1. Objeto y normativa</w:t>
      </w:r>
    </w:p>
    <w:p>
      <w:pPr>
        <w:spacing w:after="120"/>
      </w:pPr>
      <w:r>
        <w:t xml:space="preserve">Se dimensiona y comprueba un forjado unidireccional de 6,0 × 4,0 m formado por una losa de hormigón armado C30/37 de 120 mm de canto apoyada en sus dos bordes largos sobre dos vigas metálicas IPE 400 de acero S275, biapoyadas con 6,0 m de luz y separadas 4,0 m. El modelo de partida es un IFC ortodoxo del dominio de análisis estructural (entidades estándar, sin Property Sets propios).</w:t>
      </w:r>
    </w:p>
    <w:p>
      <w:pPr>
        <w:spacing w:after="120"/>
      </w:pPr>
      <w:r>
        <w:t xml:space="preserve">Normativa de aplicación (con Anejo Nacional español):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1990 (EC0): bases de cálculo y combinaciones de acciones.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1991 (EC1): acciones (cargas permanentes y sobrecarga de uso).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1992-1-1 (EC2): proyecto de la losa de hormigón armado.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1993-1-1 (EC3): proyecto de las vigas de acero.</w:t>
      </w:r>
    </w:p>
    <w:p>
      <w:pPr>
        <w:spacing w:after="120"/>
      </w:pPr>
      <w:r>
        <w:rPr>
          <w:i w:val="false"/>
          <w:iCs w:val="false"/>
        </w:rPr>
        <w:t xml:space="preserve">Coeficientes parciales: γG = 1,35 y γQ = 1,50 (ELU, EC0 6.10); γc = 1,50, γs = 1,15 (EC2); γM0 = 1,00 (EC3). Materiales: hormigón C30/37, acero estructural S275, acero de armar B500S. NDP no verificados: [confirmar AN].</w:t>
      </w:r>
    </w:p>
    <w:p>
      <w:pPr>
        <w:pStyle w:val="Heading1"/>
      </w:pPr>
      <w:r>
        <w:t xml:space="preserve">2. Modelo a partir del IFC</w:t>
      </w:r>
    </w:p>
    <w:p>
      <w:pPr>
        <w:spacing w:after="120"/>
      </w:pPr>
      <w:r>
        <w:t xml:space="preserve">El parser ortodoxo (v0.4.0) lee del IFC: la losa como IfcStructuralSurfaceMember (esquinas de IfcFaceSurface/IfcPolyLoop, espesor de .Thickness, material por IfcRelAssociatesMaterial y cargas de IfcStructuralSurfaceAction + IfcStructuralLoadPlanarForce con el caso desde IfcStructuralLoadGroup); las vigas como IfcStructuralCurveMember con sección de IfcMaterialProfileSet → IfcIShapeProfileDef (IPE 400, catálogo); y 4 nodos con apoyo biarticulado.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 / sección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 × 4.0 m, t = 120 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C30/37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Viga V1 / V2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Luz 6.0 m, biapoyada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IPE 400 (S275)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Nodos N1–N4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Apoyo biarticulado (PIN)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Modelo neutro generado: 2 barras, 1 superficie, 4 nodos. Dirección portante de la losa: 4.0 m (unidireccional, perpendicular a las vigas).</w:t>
      </w:r>
    </w:p>
    <w:p>
      <w:pPr>
        <w:pStyle w:val="Heading1"/>
      </w:pPr>
      <w:r>
        <w:t xml:space="preserve">3. Acciones y combinaciones</w:t>
      </w:r>
    </w:p>
    <w:p>
      <w:pPr>
        <w:spacing w:after="120"/>
      </w:pPr>
      <w:r>
        <w:t xml:space="preserve">Cargas de superficie sobre la losa (gravitatorias, −Z):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Permanente G (p.p. losa 3,0 + solado/tabiquería 1,5)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 kN/m²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Sobrecarga de uso 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 kN/m²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Combinación ELU = 1,35·G + 1,50·Q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10.57 kN/m²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4. Losa de hormigón (EC2)</w:t>
      </w:r>
    </w:p>
    <w:p>
      <w:pPr>
        <w:spacing w:after="120"/>
      </w:pPr>
      <w:r>
        <w:t xml:space="preserve">La losa se analiza como banda unidireccional biapoyada de 4.0 m de luz. Momento de campo por metro de ancho: m_Ed = q_ELU·L²/8 = 21.15 kN·m/m. Canto útil d = 89.0 mm (recubrimiento 25.0 mm, φ12.0).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 (EC2)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Flexión — μ = m_Ed/(b·d²·fcd)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0.134 ≤ 0,295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Armadura inferior (portante)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6.07 cm²/m → φ10/125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dispuesta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6.28 cm²/m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Reparto transversal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φ10/300 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Fisuración (cuasiperm.) wk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0.180 ≤ 0.30 mm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total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5.26 ≤ 13.3 mm (39 %)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 w:before="8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Momento y sección de la losa" descr="Momento y sección de la losa" title="Momento y sección de la lo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Comprobación de placa: el momento de la banda calculado por FEM (strip 1 m) coincide con el analítico q·L²/8 (error 0.00 %); autodiagnóstico del elemento placa MITC4: OK.</w:t>
      </w:r>
    </w:p>
    <w:p>
      <w:pPr>
        <w:spacing w:after="120"/>
      </w:pPr>
      <w:r>
        <w:rPr>
          <w:b/>
          <w:bCs/>
          <w:color w:val="1E7B34"/>
        </w:rPr>
        <w:t xml:space="preserve">Veredicto losa: CUMPLE.</w:t>
      </w:r>
    </w:p>
    <w:p>
      <w:pPr>
        <w:pStyle w:val="Heading1"/>
      </w:pPr>
      <w:r>
        <w:t xml:space="preserve">5. Reparto de carga losa → vigas</w:t>
      </w:r>
    </w:p>
    <w:p>
      <w:pPr>
        <w:spacing w:after="120"/>
      </w:pPr>
      <w:r>
        <w:t xml:space="preserve">Criterio adoptado: ancho tributario (losa unidireccional). Al ser la losa unidireccional, cada viga recibe la carga de su ancho tributario, igual a la mitad de la separación entre vigas: 2.0 m. La carga de superficie se transforma así en carga lineal sobre cada viga (q_línea = q_superficie · ancho tributario), conservándose la carga total (los dos anchos tributarios cubren el 100 % de la losa).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Magnitud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Superficie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Línea/viga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Permanente 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 kN/m²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9.0 kN/m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Sobrecarga 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 kN/m²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 kN/m</w:t>
            </w:r>
          </w:p>
        </w:tc>
      </w:tr>
    </w:tbl>
    <w:p>
      <w:pPr>
        <w:pStyle w:val="Heading1"/>
      </w:pPr>
      <w:r>
        <w:t xml:space="preserve">6. Vigas de acero (EC3)</w:t>
      </w:r>
    </w:p>
    <w:p>
      <w:pPr>
        <w:spacing w:after="120"/>
      </w:pPr>
      <w:r>
        <w:t xml:space="preserve">Cada viga IPE 400 (S275) de 6.0 m de luz se comprueba con el módulo de barras (PyNite). Esfuerzos en ELU: M_Ed = q_ELU·L²/8 y reacción por extremo R = q_ELU·L/2.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40"/>
        <w:gridCol w:w="1640"/>
        <w:gridCol w:w="1540"/>
        <w:gridCol w:w="154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 (EC3)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Flexión Mc,Rd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95.2 kN·m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359.4 kN·m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26 %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Cortante Vpl,Rd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63.5 kN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677.8 kN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9 %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Interacción N+M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26 %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total L/300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5.21 mm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 mm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26 %</w:t>
            </w:r>
          </w:p>
        </w:tc>
        <w:tc>
          <w:tcPr>
            <w:tcW w:type="dxa" w:w="1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20"/>
      </w:pPr>
      <w:r>
        <w:rPr>
          <w:b/>
          <w:bCs/>
          <w:color w:val="1E7B34"/>
        </w:rPr>
        <w:t xml:space="preserve">Aprovechamiento máximo de las vigas: 26 % (gobierna la flexión). Las dos vigas son idénticas por simetría. Veredicto vigas: CUMPLE / CUMPLE.</w:t>
      </w:r>
    </w:p>
    <w:p>
      <w:pPr>
        <w:spacing w:after="120" w:before="8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Esfuerzos y flecha de la viga V1" descr="Esfuerzos y flecha de la viga V1" title="Esfuerzos y flecha de la viga 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Validación cruzada y equilibrio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Autodiagnóstico del solver de barras (viga biapoyada cerrada): OK.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Validación cruzada de la viga con anaStruct: M = 95.14 kN·m frente a q·L²/8 = 95.17 kN·m (error 0.04 %); reacción por extremo R = 63.5 kN.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Equilibrio global en ELU: carga de superficie 253.8 kN = suma de reacciones de viga 253.8 kN (error 0.00 %).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Reacción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N3 / N4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 ELU (kN)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63.5 / 63.5</w:t>
            </w:r>
          </w:p>
        </w:tc>
      </w:tr>
    </w:tbl>
    <w:p>
      <w:pPr>
        <w:pStyle w:val="Heading1"/>
      </w:pPr>
      <w:r>
        <w:t xml:space="preserve">8. Conclusiones</w:t>
      </w:r>
    </w:p>
    <w:p>
      <w:pPr>
        <w:spacing w:after="120"/>
      </w:pPr>
      <w:r>
        <w:t xml:space="preserve">El forjado CUMPLE las comprobaciones de los Eurocódigos en ELU y ELS. La losa unidireccional C30/37 de 120 mm con armadura inferior φ10/125 (reparto φ10/300) satisface flexión, fisuración y flecha. Las vigas IPE 400 (S275) trabajan al 26 % de su capacidad, con margen amplio. El equilibrio global se cierra con error 0.00 % y la validación cruzada con anaStruct difiere 0.04 %.</w:t>
      </w:r>
    </w:p>
    <w:p>
      <w:pPr>
        <w:spacing w:after="120"/>
      </w:pPr>
      <w:r>
        <w:rPr>
          <w:i/>
          <w:iCs/>
        </w:rPr>
        <w:t xml:space="preserve">Resultado de predimensionado obtenido con un modelo sintético; debe ser revisado y firmado por técnico competente. Los NDP no verificados del Anejo Nacional se marcan [confirmar AN].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Caso 2 — Forjado losa sobre vigas · Memoria de cálculo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c8c0adb91260326822f3455c432da8788fc961.png"/><Relationship Id="rId10" Type="http://schemas.openxmlformats.org/officeDocument/2006/relationships/image" Target="media/f685a18b0b6d7ab6339afe387a5f26dcaaca3761.png"/><Relationship Id="rId11" Type="http://schemas.openxmlformats.org/officeDocument/2006/relationships/image" Target="media/93ea0c31722cf91e3672e7c9885b11991ee3da2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2026-06-21T14:19:36.765Z</dcterms:created>
  <dcterms:modified xsi:type="dcterms:W3CDTF">2026-06-21T14:19:36.765Z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