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Memoria de instalaciones — PCI · Red de rociadores automáticos (malla)</w:t>
      </w:r>
    </w:p>
    <w:p>
      <w:pPr>
        <w:spacing w:after="80"/>
      </w:pPr>
      <w:r>
        <w:rPr>
          <w:i/>
          <w:iCs/>
          <w:sz w:val="22"/>
          <w:szCs w:val="22"/>
        </w:rPr>
        <w:t xml:space="preserve">Caso PCI-02 · Disciplina Instalaciones · Subagente proyectista-pci · PT 4.4 (Ola 4).</w:t>
      </w:r>
    </w:p>
    <w:p>
      <w:pPr>
        <w:spacing w:after="80"/>
      </w:pPr>
      <w:r>
        <w:rPr>
          <w:i/>
          <w:iCs/>
          <w:sz w:val="22"/>
          <w:szCs w:val="22"/>
        </w:rPr>
        <w:t xml:space="preserve">Predimensionado/asistencia. Todo cálculo y resultado debe ser revisado y firmado por técnico competente (Ingeniero de Caminos). Los valores NDP no verificados se marcan [confirmar AN].</w:t>
      </w:r>
    </w:p>
    <w:p>
      <w:pPr>
        <w:pStyle w:val="Heading1"/>
        <w:spacing w:after="80" w:before="180"/>
      </w:pPr>
      <w:r>
        <w:t xml:space="preserve">1. Objeto y normativa</w:t>
      </w:r>
    </w:p>
    <w:p>
      <w:pPr>
        <w:spacing w:after="80"/>
      </w:pPr>
      <w:r>
        <w:rPr>
          <w:sz w:val="22"/>
          <w:szCs w:val="22"/>
        </w:rPr>
        <w:t xml:space="preserve">Dimensionado hidráulico de predimensionado de una red mallada de rociadores automáticos de protección contra incendios y comprobación de caudales y presiones en el rociador hidráulicamente más desfavorable y en el grupo de presión.</w:t>
      </w:r>
    </w:p>
    <w:p>
      <w:pPr>
        <w:spacing w:after="80"/>
      </w:pPr>
      <w:r>
        <w:rPr>
          <w:sz w:val="22"/>
          <w:szCs w:val="22"/>
        </w:rPr>
        <w:t xml:space="preserve">Normativa: UNE-EN 12845 (rociadores automáticos; densidad de descarga × área de operación); RIPCI (RD 513/2017); UNE 23500 (abastecimiento de agua); DB-SI SI4 (dotación de instalaciones de protección).</w:t>
      </w:r>
    </w:p>
    <w:p>
      <w:pPr>
        <w:spacing w:after="80"/>
      </w:pPr>
      <w:r>
        <w:rPr>
          <w:sz w:val="22"/>
          <w:szCs w:val="22"/>
        </w:rPr>
        <w:t xml:space="preserve">Frontera del ecosistema: lectura/escritura IFC en iso19650-openbim (dominio MEP, C1); demanda (C4) y cálculo hidráulico en instalaciones, sobre el modelo neutro de red. El núcleo aporta la topología; el solver calcula.</w:t>
      </w:r>
    </w:p>
    <w:p>
      <w:pPr>
        <w:pStyle w:val="Heading1"/>
        <w:spacing w:after="80" w:before="180"/>
      </w:pPr>
      <w:r>
        <w:t xml:space="preserve">2. Descripción de la red</w:t>
      </w:r>
    </w:p>
    <w:p>
      <w:pPr>
        <w:spacing w:after="80"/>
      </w:pPr>
      <w:r>
        <w:rPr>
          <w:sz w:val="22"/>
          <w:szCs w:val="22"/>
        </w:rPr>
        <w:t xml:space="preserve">Red mallada en disposición de escalera (dos colectores conectados por montantes) con seis rociadores colgando por ramales, tomada de un IFC MEP (IfcDistributionSystem FIREPROTECTION) y traducida al modelo neutro de red.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auto" w:w="Infinity"/>
          </w:tcPr>
          <w:p>
            <w:r>
              <w:rPr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auto" w:w="Infinity"/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Nodos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Tramos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Lazos independientes (m−n+1)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(red mallada)</w:t>
            </w:r>
          </w:p>
        </w:tc>
      </w:tr>
      <w:tr>
        <w:trPr>
          <w:tblHeader w:val="false"/>
        </w:trPr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Rociadores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(ROC-1 … ROC-6)</w:t>
            </w:r>
          </w:p>
        </w:tc>
      </w:tr>
      <w:tr>
        <w:trPr>
          <w:tblHeader w:val="false"/>
        </w:trPr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Fuente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Grupo de presión PCI (N1)</w:t>
            </w:r>
          </w:p>
        </w:tc>
      </w:tr>
      <w:tr>
        <w:trPr>
          <w:tblHeader w:val="false"/>
        </w:trPr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Colectores / montantes / ramales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DN100 / DN80 / DN32</w:t>
            </w:r>
          </w:p>
        </w:tc>
      </w:tr>
      <w:tr>
        <w:trPr>
          <w:tblHeader w:val="false"/>
        </w:trPr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Material / rugosidad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Acero galvanizado, 0,045 mm [confirmar AN]</w:t>
            </w:r>
          </w:p>
        </w:tc>
      </w:tr>
    </w:tbl>
    <w:p>
      <w:pPr>
        <w:pStyle w:val="Heading1"/>
        <w:spacing w:after="80" w:before="180"/>
      </w:pPr>
      <w:r>
        <w:t xml:space="preserve">3. Bases de demanda (UNE-EN 12845) — clase OH1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Infinity"/>
          </w:tcPr>
          <w:p>
            <w:r>
              <w:rPr>
                <w:b/>
                <w:bCs/>
                <w:sz w:val="20"/>
                <w:szCs w:val="20"/>
              </w:rPr>
              <w:t xml:space="preserve">Magnitud</w:t>
            </w:r>
          </w:p>
        </w:tc>
        <w:tc>
          <w:tcPr>
            <w:tcW w:type="auto" w:w="Infinity"/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auto" w:w="Infinity"/>
          </w:tcPr>
          <w:p>
            <w:r>
              <w:rPr>
                <w:b/>
                <w:bCs/>
                <w:sz w:val="20"/>
                <w:szCs w:val="20"/>
              </w:rPr>
              <w:t xml:space="preserve">Origen</w:t>
            </w:r>
          </w:p>
        </w:tc>
      </w:tr>
      <w:tr>
        <w:trPr>
          <w:tblHeader w:val="false"/>
        </w:trPr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Densidad de descarga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5,0 mm/min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UNE-EN 12845 OH [confirmar AN]</w:t>
            </w:r>
          </w:p>
        </w:tc>
      </w:tr>
      <w:tr>
        <w:trPr>
          <w:tblHeader w:val="false"/>
        </w:trPr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Área de operación (húmedo)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72 m²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UNE-EN 12845 [confirmar AN]</w:t>
            </w:r>
          </w:p>
        </w:tc>
      </w:tr>
      <w:tr>
        <w:trPr>
          <w:tblHeader w:val="false"/>
        </w:trPr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Cobertura por rociador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m²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[confirmar AN]</w:t>
            </w:r>
          </w:p>
        </w:tc>
      </w:tr>
      <w:tr>
        <w:trPr>
          <w:tblHeader w:val="false"/>
        </w:trPr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Nº rociadores área desfavorable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= ⌈72/12⌉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Caudal mínimo por rociador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1,00 l/s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densidad × cobertura</w:t>
            </w:r>
          </w:p>
        </w:tc>
      </w:tr>
      <w:tr>
        <w:trPr>
          <w:tblHeader w:val="false"/>
        </w:trPr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Factor K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 (l/min·bar^-0,5)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rociador 15 mm [confirmar AN]</w:t>
            </w:r>
          </w:p>
        </w:tc>
      </w:tr>
      <w:tr>
        <w:trPr>
          <w:tblHeader w:val="false"/>
        </w:trPr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Presión dinámica mínima boquilla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56,25 kPa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 = K·√p</w:t>
            </w:r>
          </w:p>
        </w:tc>
      </w:tr>
      <w:tr>
        <w:trPr>
          <w:tblHeader w:val="false"/>
        </w:trPr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Caudal de diseño total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6,0 l/s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densidad × área de operación</w:t>
            </w:r>
          </w:p>
        </w:tc>
      </w:tr>
      <w:tr>
        <w:trPr>
          <w:tblHeader w:val="false"/>
        </w:trPr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Duración / autonomía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min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UNE-EN 12845 [confirmar AN]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>El dato de proyecto (IFC) de caudal/presión por terminal, si existe, prevalece sobre el valor normativo por defecto (fuente_dato).</w:t>
      </w:r>
    </w:p>
    <w:p>
      <w:pPr>
        <w:pStyle w:val="Heading1"/>
        <w:spacing w:after="80" w:before="180"/>
      </w:pPr>
      <w:r>
        <w:t xml:space="preserve">4. Método de cálculo</w:t>
      </w:r>
    </w:p>
    <w:p>
      <w:pPr>
        <w:spacing w:after="80"/>
      </w:pPr>
      <w:r>
        <w:rPr>
          <w:sz w:val="22"/>
          <w:szCs w:val="22"/>
        </w:rPr>
        <w:t xml:space="preserve">Pérdida de carga: Darcy-Weisbach, fricción por Swamee-Jain (aprox. de Colebrook-White) [confirmar criterio]; mayoración por accesorios +20 % [confirmar AN]; velocidad máxima 6,0 m/s [confirmar AN].</w:t>
      </w:r>
    </w:p>
    <w:p>
      <w:pPr>
        <w:spacing w:after="80"/>
      </w:pPr>
      <w:r>
        <w:rPr>
          <w:sz w:val="22"/>
          <w:szCs w:val="22"/>
        </w:rPr>
        <w:t xml:space="preserve">Reparto de caudales en red mallada: Hardy-Cross (corrección por lazo, n=2) sobre la base de ciclos fundamentales (cuerdas del árbol generador). Se impone continuidad en los nudos y pérdida de carga nula alrededor de cada lazo (2.ª ley de Kirchhoff hidráulica); la fricción se reevalúa por iteración. El árbol es el caso particular de 0 lazos.</w:t>
      </w:r>
    </w:p>
    <w:p>
      <w:pPr>
        <w:spacing w:after="80"/>
      </w:pPr>
      <w:r>
        <w:rPr>
          <w:sz w:val="22"/>
          <w:szCs w:val="22"/>
        </w:rPr>
        <w:t xml:space="preserve">Propagación de presiones desde el grupo de presión con cota geométrica. Simultaneidad: los 6 rociadores del área de operación más desfavorable.</w:t>
      </w:r>
    </w:p>
    <w:p>
      <w:pPr>
        <w:pStyle w:val="Heading1"/>
        <w:spacing w:after="80" w:before="180"/>
      </w:pPr>
      <w:r>
        <w:t xml:space="preserve">5. Resultados y comprobaciones</w:t>
      </w:r>
    </w:p>
    <w:p>
      <w:pPr>
        <w:spacing w:after="80"/>
      </w:pPr>
      <w:r>
        <w:rPr>
          <w:sz w:val="22"/>
          <w:szCs w:val="22"/>
        </w:rPr>
        <w:t xml:space="preserve">Convergencia Hardy-Cross: 3 lazos, 9 iteraciones, residuo máximo de cierre por lazo 5·10⁻⁶ kPa (≈ 0).</w:t>
      </w:r>
    </w:p>
    <w:p>
      <w:pPr>
        <w:spacing w:after="80"/>
      </w:pPr>
      <w:r>
        <w:rPr>
          <w:sz w:val="22"/>
          <w:szCs w:val="22"/>
        </w:rPr>
        <w:t xml:space="preserve">Balance de caudales: residuo de continuidad nodal 0,0000 % (caudal con signo; el grupo inyecta 6,0 l/s).</w:t>
      </w:r>
    </w:p>
    <w:p>
      <w:pPr>
        <w:spacing w:after="80"/>
      </w:pPr>
      <w:r>
        <w:rPr>
          <w:sz w:val="22"/>
          <w:szCs w:val="22"/>
        </w:rPr>
        <w:t xml:space="preserve">Tramos gobernantes (mayor caudal):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Infinity"/>
          </w:tcPr>
          <w:p>
            <w:r>
              <w:rPr>
                <w:b/>
                <w:bCs/>
                <w:sz w:val="20"/>
                <w:szCs w:val="20"/>
              </w:rPr>
              <w:t xml:space="preserve">Tramo</w:t>
            </w:r>
          </w:p>
        </w:tc>
        <w:tc>
          <w:tcPr>
            <w:tcW w:type="auto" w:w="Infinity"/>
          </w:tcPr>
          <w:p>
            <w:r>
              <w:rPr>
                <w:b/>
                <w:bCs/>
                <w:sz w:val="20"/>
                <w:szCs w:val="20"/>
              </w:rPr>
              <w:t xml:space="preserve">DN (mm)</w:t>
            </w:r>
          </w:p>
        </w:tc>
        <w:tc>
          <w:tcPr>
            <w:tcW w:type="auto" w:w="Infinity"/>
          </w:tcPr>
          <w:p>
            <w:r>
              <w:rPr>
                <w:b/>
                <w:bCs/>
                <w:sz w:val="20"/>
                <w:szCs w:val="20"/>
              </w:rPr>
              <w:t xml:space="preserve">Caudal (l/s)</w:t>
            </w:r>
          </w:p>
        </w:tc>
        <w:tc>
          <w:tcPr>
            <w:tcW w:type="auto" w:w="Infinity"/>
          </w:tcPr>
          <w:p>
            <w:r>
              <w:rPr>
                <w:b/>
                <w:bCs/>
                <w:sz w:val="20"/>
                <w:szCs w:val="20"/>
              </w:rPr>
              <w:t xml:space="preserve">Velocidad (m/s)</w:t>
            </w:r>
          </w:p>
        </w:tc>
        <w:tc>
          <w:tcPr>
            <w:tcW w:type="auto" w:w="Infinity"/>
          </w:tcPr>
          <w:p>
            <w:r>
              <w:rPr>
                <w:b/>
                <w:bCs/>
                <w:sz w:val="20"/>
                <w:szCs w:val="20"/>
              </w:rPr>
              <w:t xml:space="preserve">Δp (kPa)</w:t>
            </w:r>
          </w:p>
        </w:tc>
      </w:tr>
      <w:tr>
        <w:trPr>
          <w:tblHeader w:val="false"/>
        </w:trPr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M-T1 (cabecera)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3,990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0,508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0,277</w:t>
            </w:r>
          </w:p>
        </w:tc>
      </w:tr>
      <w:tr>
        <w:trPr>
          <w:tblHeader w:val="false"/>
        </w:trPr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M-T2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2,250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0,286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0,098</w:t>
            </w:r>
          </w:p>
        </w:tc>
      </w:tr>
      <w:tr>
        <w:trPr>
          <w:tblHeader w:val="false"/>
        </w:trPr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M-B1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2,010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0,256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0,080</w:t>
            </w:r>
          </w:p>
        </w:tc>
      </w:tr>
      <w:tr>
        <w:trPr>
          <w:tblHeader w:val="false"/>
        </w:trPr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R-1 (montante)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2,010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0,400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0,237</w:t>
            </w:r>
          </w:p>
        </w:tc>
      </w:tr>
      <w:tr>
        <w:trPr>
          <w:tblHeader w:val="false"/>
        </w:trPr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D-ROC-1 (ramal)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1,243</w:t>
            </w:r>
          </w:p>
        </w:tc>
        <w:tc>
          <w:tcPr>
            <w:tcW w:type="auto" w:w="Infinity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2,262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>Velocidad pico 1,243 m/s en ramales DN32 ≤ 6,0 m/s → cumple.</w:t>
      </w:r>
    </w:p>
    <w:p>
      <w:pPr>
        <w:spacing w:after="80"/>
      </w:pPr>
      <w:r>
        <w:rPr>
          <w:sz w:val="22"/>
          <w:szCs w:val="22"/>
        </w:rPr>
        <w:t xml:space="preserve">Rociadores (6 simultáneos): presión disponible ≈ 297 kPa frente a 56,25 kPa requeridos; margen ≈ 241 kPa. Todos CUMPLEN.</w:t>
      </w:r>
    </w:p>
    <w:p>
      <w:pPr>
        <w:spacing w:after="80"/>
      </w:pPr>
      <w:r>
        <w:rPr>
          <w:sz w:val="22"/>
          <w:szCs w:val="22"/>
        </w:rPr>
        <w:t xml:space="preserve">Grupo de presión: 300 kPa disponible [confirmar AN] ≥ 58,9 kPa requerida (rociador gobernante); margen 241 kPa. Caudal de diseño 6,0 l/s frente a 12 l/s de capacidad. El punto de funcionamiento (curva demanda vs abastecimiento) queda del lado seguro; la curva real del grupo (UNE 23500) debe verificarse en proyecto [confirmar AN].</w:t>
      </w:r>
    </w:p>
    <w:p>
      <w:pPr>
        <w:pStyle w:val="Heading1"/>
        <w:spacing w:after="80" w:before="180"/>
      </w:pPr>
      <w:r>
        <w:t xml:space="preserve">6. Escritura de resultados al IFC (write-back)</w:t>
      </w:r>
    </w:p>
    <w:p>
      <w:pPr>
        <w:spacing w:after="80"/>
      </w:pPr>
      <w:r>
        <w:rPr>
          <w:sz w:val="22"/>
          <w:szCs w:val="22"/>
        </w:rPr>
        <w:t xml:space="preserve">Cerrando el ciclo IFC → cálculo → IFC, los resultados se escriben de vuelta como Psets de resultado (Pset_Estructurando_ResultadoRed) sobre 22 elementos (16 tramos + 6 rociadores): por tramo DN dimensionado, caudal, velocidad, pérdida de carga y sentido; por rociador caudal, presión disponible, presión mínima, margen y veredicto. El IFC enriquecido se valida con iso19650-openbim:ifc-validate (continuidad 100 %, APTO). La mecánica IFC vive en iso19650-openbim; la semántica en instalaciones; la orquestación, en el agente de disciplina.</w:t>
      </w:r>
    </w:p>
    <w:p>
      <w:pPr>
        <w:pStyle w:val="Heading1"/>
        <w:spacing w:after="80" w:before="180"/>
      </w:pPr>
      <w:r>
        <w:t xml:space="preserve">7. Conclusión</w:t>
      </w:r>
    </w:p>
    <w:p>
      <w:pPr>
        <w:spacing w:after="80"/>
      </w:pPr>
      <w:r>
        <w:rPr>
          <w:sz w:val="22"/>
          <w:szCs w:val="22"/>
        </w:rPr>
        <w:t xml:space="preserve">La red mallada de rociadores OH1 cumple en predimensionado: reparto hiperestático por Hardy-Cross con cierre de lazos y balance de caudales ≈ 0, velocidades admisibles y presión suficiente en los seis rociadores del área de operación y en el grupo de presión. Resultado: CUMPLE. Predimensionado a revisar y firmar por técnico competente.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2026-06-22T12:30:40.451Z</dcterms:created>
  <dcterms:modified xsi:type="dcterms:W3CDTF">2026-06-22T12:30:40.453Z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