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0"/>
          <w:szCs w:val="40"/>
        </w:rPr>
        <w:t xml:space="preserve">MEMORIA DE CÁLCULO ESTRUCTURAL</w:t>
      </w:r>
    </w:p>
    <w:p>
      <w:pPr>
        <w:spacing w:after="80"/>
        <w:jc w:val="center"/>
      </w:pPr>
      <w:r>
        <w:rPr>
          <w:sz w:val="26"/>
          <w:szCs w:val="26"/>
        </w:rPr>
        <w:t xml:space="preserve">Módulo pórtico de acero + losa de hormigón (Fase 2)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Motor de cálculo IFC → FEM mixto barras/placa → Eurocódigos</w:t>
      </w:r>
    </w:p>
    <w:p>
      <w:pPr>
        <w:spacing w:before="600"/>
        <w:jc w:val="center"/>
      </w:pPr>
      <w:r>
        <w:rPr>
          <w:sz w:val="22"/>
          <w:szCs w:val="22"/>
        </w:rPr>
        <w:t xml:space="preserve">Proyecto: Estructurando   ·   Fecha: 21/06/2026</w:t>
      </w:r>
    </w:p>
    <w:p>
      <w:pPr>
        <w:spacing w:before="800"/>
        <w:jc w:val="center"/>
      </w:pPr>
      <w:r>
        <w:rPr>
          <w:i/>
          <w:iCs/>
          <w:color w:val="999999"/>
          <w:sz w:val="18"/>
          <w:szCs w:val="18"/>
        </w:rPr>
        <w:t xml:space="preserve">Documento generado automáticamente. Los cálculos deben ser revisados y firmados por técnico competente.</w:t>
      </w:r>
    </w:p>
    <w:p>
      <w:pPr>
        <w:pageBreakBefore/>
      </w:pPr>
    </w:p>
    <w:p>
      <w:pPr>
        <w:pStyle w:val="Heading1"/>
      </w:pPr>
      <w:r>
        <w:t xml:space="preserve">1. Objeto y alcance</w:t>
      </w:r>
    </w:p>
    <w:p>
      <w:pPr>
        <w:spacing w:after="120"/>
      </w:pPr>
      <w:r>
        <w:t xml:space="preserve">Esta memoria justifica el cálculo de un módulo de edificio formado por un pórtico espacial de acero (4 pilares y 4 vigas perimetrales) y una losa de hormigón armado apoyada en las vigas. Amplía la Fase 1 (barras) incorporando elementos finitos tipo lámina (placa) para la losa, su dimensionamiento a flexión según EC2 y la comprobación conjunta del modelo mixto barras + placa.</w:t>
      </w:r>
    </w:p>
    <w:p>
      <w:pPr>
        <w:pStyle w:val="Heading1"/>
      </w:pPr>
      <w:r>
        <w:t xml:space="preserve">2. Normativa de aplicación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26"/>
        <w:gridCol w:w="30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 1990 (EC0)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Bases de cálculo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Combinaciones ELU/ELS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 1991 (EC1)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Acciones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Permanentes, autopeso y uso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 1992-1-1 (EC2)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Estructuras de hormigón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Armado de la losa, cuantías, flecha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 1993-1-1 (EC3)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Estructuras de acero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Comprobación de vigas y pilares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 España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Anejos Nacionales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Coeficientes y NDP [confirmar AN]</w:t>
            </w:r>
          </w:p>
        </w:tc>
      </w:tr>
    </w:tbl>
    <w:p>
      <w:pPr>
        <w:pStyle w:val="Heading1"/>
      </w:pPr>
      <w:r>
        <w:t xml:space="preserve">3. Descripción del modelo</w:t>
      </w:r>
    </w:p>
    <w:p>
      <w:pPr>
        <w:jc w:val="center"/>
      </w:pPr>
      <w:r>
        <w:drawing>
          <wp:inline distT="0" distB="0" distL="0" distR="0">
            <wp:extent cx="3429000" cy="2952750"/>
            <wp:effectExtent t="0" r="0" b="0" l="0"/>
            <wp:docPr id="1" name="modelo_3d.png" descr="Figura 1. Modelo 3D del módulo (pórtico + losa)." title="Figura 1. Modelo 3D del módulo (pórtico + los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Modelo 3D del módulo (pórtico + losa).</w:t>
      </w:r>
    </w:p>
    <w:p>
      <w:pPr>
        <w:pStyle w:val="Heading2"/>
      </w:pPr>
      <w:r>
        <w:t xml:space="preserve">3.1 Geometría</w:t>
      </w:r>
    </w:p>
    <w:p>
      <w:pPr>
        <w:spacing w:after="120"/>
      </w:pPr>
      <w:r>
        <w:t xml:space="preserve">Módulo de 5.0 × 5.0 m en planta y 4.0 m de altura. Losa de canto 200 mm. Pilares HEB 200 y vigas IPE 330.</w:t>
      </w:r>
    </w:p>
    <w:p>
      <w:pPr>
        <w:pStyle w:val="Heading2"/>
      </w:pPr>
      <w:r>
        <w:t xml:space="preserve">3.2 Materiales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 [GPa]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 [MPa]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ν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ρ [kg/m³]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S275JR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210.0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7850</w:t>
            </w:r>
          </w:p>
        </w:tc>
      </w:tr>
      <w:tr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C30/37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32.8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 (fck)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2500</w:t>
            </w:r>
          </w:p>
        </w:tc>
      </w:tr>
    </w:tbl>
    <w:p>
      <w:pPr>
        <w:spacing w:after="120"/>
        <w:rPr>
          <w:sz w:val="18"/>
          <w:szCs w:val="18"/>
        </w:rPr>
      </w:pPr>
      <w:r>
        <w:rPr>
          <w:sz w:val="18"/>
          <w:szCs w:val="18"/>
        </w:rPr>
        <w:t xml:space="preserve">Hormigón C30/37 (γc = 1,50); acero pasivo B500S (fyk = 500 MPa, γs = 1,15); acero estructural S275 (γM0 = 1,00). [confirmar AN]</w:t>
      </w:r>
    </w:p>
    <w:p>
      <w:pPr>
        <w:pStyle w:val="Heading1"/>
      </w:pPr>
      <w:r>
        <w:t xml:space="preserve">4. Acciones y combinaciones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2750"/>
        <w:gridCol w:w="2750"/>
      </w:tblGrid>
      <w:tr>
        <w:trPr>
          <w:tblHeader/>
        </w:trP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Aplicación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2.00 kN/m²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Losa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3.00 kN/m²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Losa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(autopeso losa)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4.91 kN/m²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Losa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(autopeso barras)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19.3 kN total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Vigas+pilares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3126"/>
        <w:gridCol w:w="30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Combinación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Expresión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1.35*G + 1.50*Q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EC0 6.10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ELU_G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ELU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1.35*G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EC0 6.10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ELS_car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+ Q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EC0 6.14b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ELS_fre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+ 0.5*Q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EC0 6.15b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ELS_cp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 + 0.3*Q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EC0 6.16b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ELS_act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ELS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criterio despacho</w:t>
            </w:r>
          </w:p>
        </w:tc>
      </w:tr>
    </w:tbl>
    <w:p>
      <w:pPr>
        <w:pStyle w:val="Heading1"/>
      </w:pPr>
      <w:r>
        <w:t xml:space="preserve">5. Procedimiento y validación</w:t>
      </w:r>
    </w:p>
    <w:p>
      <w:pPr>
        <w:spacing w:after="120"/>
      </w:pPr>
      <w:r>
        <w:t xml:space="preserve">La losa se idealiza con elementos finitos cuadriláteros (MITC4); las vigas perimetrales se mallan en segmentos que comparten nodos con la losa (apoyo de borde) y los pilares conectan las esquinas con la cimentación empotrada. El modelo se resuelve en régimen lineal.</w:t>
      </w:r>
    </w:p>
    <w:p>
      <w:pPr>
        <w:pStyle w:val="Heading2"/>
      </w:pPr>
      <w:r>
        <w:t xml:space="preserve">5.1 Validación de los elementos placa (Timoshenko)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1900"/>
        <w:gridCol w:w="1900"/>
        <w:gridCol w:w="1700"/>
      </w:tblGrid>
      <w:tr>
        <w:trPr>
          <w:tblHeader/>
        </w:trP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Magnitud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Calculado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Teórico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Flecha losa SS (mm)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1.18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1.15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2.47 %</w:t>
            </w:r>
          </w:p>
        </w:tc>
      </w:tr>
      <w:tr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Momento centro (kN·m/m)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12.03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11.97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0.46 %</w:t>
            </w:r>
          </w:p>
        </w:tc>
      </w:tr>
    </w:tbl>
    <w:p>
      <w:pPr>
        <w:spacing w:after="120"/>
        <w:rPr>
          <w:b/>
          <w:bCs/>
          <w:color w:val="1E7A1E"/>
        </w:rPr>
      </w:pPr>
      <w:r>
        <w:rPr>
          <w:b/>
          <w:bCs/>
          <w:color w:val="1E7A1E"/>
        </w:rPr>
        <w:t xml:space="preserve">Elementos placa VALIDADOS frente a la solución analítica de Timoshenko.</w:t>
      </w:r>
    </w:p>
    <w:p>
      <w:pPr>
        <w:pStyle w:val="Heading2"/>
      </w:pPr>
      <w:r>
        <w:t xml:space="preserve">5.2 Equilibrio global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1800"/>
        <w:gridCol w:w="1626"/>
        <w:gridCol w:w="17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Carga losa ELU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Autopeso barras ELU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aplicada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Reacción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345.5 kN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26.0 kN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371.5 kN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371.5 kN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0.00 %</w:t>
            </w:r>
          </w:p>
        </w:tc>
      </w:tr>
    </w:tbl>
    <w:p>
      <w:pPr>
        <w:spacing w:after="120"/>
        <w:rPr>
          <w:b/>
          <w:bCs/>
          <w:color w:val="1E7A1E"/>
        </w:rPr>
      </w:pPr>
      <w:r>
        <w:rPr>
          <w:b/>
          <w:bCs/>
          <w:color w:val="1E7A1E"/>
        </w:rPr>
        <w:t xml:space="preserve">El equilibrio vertical cierra con error 0.00 %, confirmando la consistencia del modelo mixto.</w:t>
      </w:r>
    </w:p>
    <w:p>
      <w:pPr>
        <w:pageBreakBefore/>
      </w:pPr>
    </w:p>
    <w:p>
      <w:pPr>
        <w:pStyle w:val="Heading1"/>
      </w:pPr>
      <w:r>
        <w:t xml:space="preserve">6. Esfuerzos de la losa</w:t>
      </w:r>
    </w:p>
    <w:p>
      <w:pPr>
        <w:jc w:val="center"/>
      </w:pPr>
      <w:r>
        <w:drawing>
          <wp:inline distT="0" distB="0" distL="0" distR="0">
            <wp:extent cx="3143250" cy="2714625"/>
            <wp:effectExtent t="0" r="0" b="0" l="0"/>
            <wp:docPr id="1" name="mapa_Mx.png" descr="Figura 2. Momento Mx (sagging) — ELU." title="Figura 2. Momento Mx (sagging) — EL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2. Momento Mx (sagging) — ELU.</w:t>
      </w:r>
    </w:p>
    <w:p>
      <w:pPr>
        <w:jc w:val="center"/>
      </w:pPr>
      <w:r>
        <w:drawing>
          <wp:inline distT="0" distB="0" distL="0" distR="0">
            <wp:extent cx="3143250" cy="2714625"/>
            <wp:effectExtent t="0" r="0" b="0" l="0"/>
            <wp:docPr id="1" name="mapa_My.png" descr="Figura 3. Momento My (sagging) — ELU." title="Figura 3. Momento My (sagging) — EL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3. Momento My (sagging) — ELU.</w:t>
      </w:r>
    </w:p>
    <w:p>
      <w:pPr>
        <w:jc w:val="center"/>
      </w:pPr>
      <w:r>
        <w:drawing>
          <wp:inline distT="0" distB="0" distL="0" distR="0">
            <wp:extent cx="3143250" cy="2714625"/>
            <wp:effectExtent t="0" r="0" b="0" l="0"/>
            <wp:docPr id="1" name="mapa_flecha.png" descr="Figura 4. Flecha de la losa — ELS característica." title="Figura 4. Flecha de la losa — ELS característ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4. Flecha de la losa — ELS característica.</w:t>
      </w:r>
    </w:p>
    <w:p>
      <w:pPr>
        <w:pageBreakBefore/>
      </w:pPr>
    </w:p>
    <w:p>
      <w:pPr>
        <w:pStyle w:val="Heading1"/>
      </w:pPr>
      <w:r>
        <w:t xml:space="preserve">7. Dimensionamiento de la losa (EC2)</w:t>
      </w:r>
    </w:p>
    <w:p>
      <w:pPr>
        <w:spacing w:after="120"/>
      </w:pPr>
      <w:r>
        <w:t xml:space="preserve">Canto h = 200 mm; cantos útiles d_x = 169.0 mm, d_y = 157.0 mm; recubrimiento 25 mm; fcd = 20.0 MPa; fyd = 434.8 MPa.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500"/>
        <w:gridCol w:w="1200"/>
        <w:gridCol w:w="1000"/>
        <w:gridCol w:w="1900"/>
        <w:gridCol w:w="800"/>
        <w:gridCol w:w="900"/>
      </w:tblGrid>
      <w:tr>
        <w:trPr>
          <w:tblHeader/>
        </w:trPr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Armadura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m_Ed [kN·m/m]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 [cm²/m]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As,mín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Disposición (As,prov)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μ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Cumple</w:t>
            </w:r>
          </w:p>
        </w:tc>
      </w:tr>
      <w:tr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 inferior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3.78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2.55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φ10/200 (3.93)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 superior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2.55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2.55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φ10/300 (2.62)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 inferior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27.8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4.52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2.37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φ10/150 (5.24)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0.056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 superior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2.37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2.37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φ10/300 (2.62)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</w:tbl>
    <w:p>
      <w:pPr>
        <w:spacing w:after="120"/>
        <w:rPr>
          <w:b/>
          <w:bCs/>
        </w:rPr>
      </w:pPr>
      <w:r>
        <w:rPr>
          <w:b/>
          <w:bCs/>
        </w:rPr>
        <w:t xml:space="preserve">Flecha total 4.00 mm ≤ L/300 = 16.7 mm (24 %); flecha activa 1.19 mm ≤ L/500 = 10.0 mm (12 %).</w:t>
      </w:r>
    </w:p>
    <w:p>
      <w:pPr>
        <w:spacing w:after="120"/>
        <w:rPr>
          <w:b/>
          <w:bCs/>
          <w:color w:val="1E7A1E"/>
        </w:rPr>
      </w:pPr>
      <w:r>
        <w:rPr>
          <w:b/>
          <w:bCs/>
          <w:color w:val="1E7A1E"/>
        </w:rPr>
        <w:t xml:space="preserve">Veredicto de la losa: CUMPLE.</w:t>
      </w:r>
    </w:p>
    <w:p>
      <w:pPr>
        <w:pageBreakBefore/>
      </w:pPr>
    </w:p>
    <w:p>
      <w:pPr>
        <w:pStyle w:val="Heading1"/>
      </w:pPr>
      <w:r>
        <w:t xml:space="preserve">8. Punzonamiento y fisuración (EC2)</w:t>
      </w:r>
    </w:p>
    <w:p>
      <w:pPr>
        <w:pStyle w:val="Heading2"/>
      </w:pPr>
      <w:r>
        <w:t xml:space="preserve">8.1 Punzonamiento (EC2 §6.4)</w:t>
      </w:r>
    </w:p>
    <w:p>
      <w:pPr>
        <w:spacing w:after="120"/>
      </w:pPr>
      <w:r>
        <w:t xml:space="preserve">Se evalúa la transferencia de carga de la losa al pilar de esquina más cargado (β = 1.5, posición de esquina). El modelo apoya la losa en vigas perimetrales; esta comprobación representa el nudo losa-pilar y es conservadora (equivalente a losa apoyada directamente sobre pilar).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Carga de punzonamiento V_Ed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92.9 kN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Perímetro de control u1 (a 2d)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0.91 m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Canto útil medio 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163.0 mm   (k = 2.00)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Cuantía ρl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0.28 %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v_Ed (en u1)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0.94 MPa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v_Rd,c (sin armadura)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0.54 MPa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Aprovechamiento v_Ed/v_Rd,c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173 %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v_Ed (en perímetro pilar u0)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2.14 MPa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v_Rd,max (biela)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5.28 MPa  (aprov. 40 %)</w:t>
            </w:r>
          </w:p>
        </w:tc>
      </w:tr>
    </w:tbl>
    <w:p>
      <w:pPr>
        <w:spacing w:after="120"/>
        <w:rPr>
          <w:b/>
          <w:bCs/>
          <w:color w:val="B00000"/>
        </w:rPr>
      </w:pPr>
      <w:r>
        <w:rPr>
          <w:b/>
          <w:bCs/>
          <w:color w:val="B00000"/>
        </w:rPr>
        <w:t xml:space="preserve">Resultado: v_Ed supera v_Rd,c → se REQUIERE armadura de punzonamiento o aumentar el canto / disponer ábaco o capitel. La compresión en biela (v_Rd,max) sí se cumple.</w:t>
      </w:r>
    </w:p>
    <w:p>
      <w:pPr>
        <w:pStyle w:val="Heading2"/>
      </w:pPr>
      <w:r>
        <w:t xml:space="preserve">8.2 Fisuración (EC2 §7.3)</w:t>
      </w:r>
    </w:p>
    <w:p>
      <w:pPr>
        <w:spacing w:after="120"/>
      </w:pPr>
      <w:r>
        <w:t xml:space="preserve">Cálculo directo de la abertura de fisura wk bajo la combinación cuasipermanente, en la dirección de mayor momento (armadura inferior dispuesta).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Momento cuasipermanente m_qp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15.8 kN·m/m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Tensión del acero σs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213.3 MPa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Cuantía eficaz ρp,eff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0.52 %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Separación de fisuras sr,max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474.6 mm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Abertura de fisura wk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0.30 mm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Límite wmax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0.30 mm   (aprov. 101 %)</w:t>
            </w:r>
          </w:p>
        </w:tc>
      </w:tr>
    </w:tbl>
    <w:p>
      <w:pPr>
        <w:spacing w:after="120"/>
        <w:rPr>
          <w:b/>
          <w:bCs/>
          <w:color w:val="C07A00"/>
        </w:rPr>
      </w:pPr>
      <w:r>
        <w:rPr>
          <w:b/>
          <w:bCs/>
          <w:color w:val="C07A00"/>
        </w:rPr>
        <w:t xml:space="preserve">Resultado: wk supera ligeramente el límite adoptado (0,30 mm). Para clase XC1 el EC2 admite wmax = 0,40 mm, con lo que cumpliría; en caso contrario, reducir separación o aumentar diámetro de armadura. [confirmar clase de exposición]</w:t>
      </w:r>
    </w:p>
    <w:p>
      <w:pPr>
        <w:pStyle w:val="Heading1"/>
      </w:pPr>
      <w:r>
        <w:t xml:space="preserve">9. Comprobación de las barras (EC3)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900"/>
        <w:gridCol w:w="1000"/>
        <w:gridCol w:w="900"/>
        <w:gridCol w:w="900"/>
        <w:gridCol w:w="900"/>
        <w:gridCol w:w="900"/>
        <w:gridCol w:w="991"/>
      </w:tblGrid>
      <w:tr>
        <w:trPr>
          <w:tblHeader/>
        </w:trPr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 [kN]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 [kN·m]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 [kN]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u_N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u_M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u_V</w:t>
            </w:r>
          </w:p>
        </w:tc>
        <w:tc>
          <w:tcPr>
            <w:tcW w:type="dxa" w:w="9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Aprov.</w:t>
            </w:r>
          </w:p>
        </w:tc>
      </w:tr>
      <w:tr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Viga crítica V_W4 (IPE 330)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32.4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15 %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1 %</w:t>
            </w:r>
          </w:p>
        </w:tc>
        <w:tc>
          <w:tcPr>
            <w:tcW w:type="dxa" w:w="9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15 %</w:t>
            </w:r>
          </w:p>
        </w:tc>
      </w:tr>
      <w:tr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Pilar crítico C3 (HEB 200)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92.9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18.5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2 %</w:t>
            </w:r>
          </w:p>
        </w:tc>
        <w:tc>
          <w:tcPr>
            <w:tcW w:type="dxa" w:w="9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10 %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Comprobación EC3 de barras a nivel de sección (detalle completo de pandeo en el flujo de la Fase 1).</w:t>
      </w:r>
    </w:p>
    <w:p>
      <w:pPr>
        <w:pStyle w:val="Heading1"/>
      </w:pPr>
      <w:r>
        <w:t xml:space="preserve">10. Conclusiones</w:t>
      </w:r>
    </w:p>
    <w:p>
      <w:pPr>
        <w:spacing w:after="120"/>
      </w:pPr>
      <w:r>
        <w:t xml:space="preserve">La losa CUMPLE a flexión (EC2) y en flecha; las barras CUMPLEN (EC3). Los elementos placa se validaron frente a la solución de Timoshenko (error &lt; 3 %) y el equilibrio global cierra con error nulo, confirmando la cadena IFC → FEM mixto → Eurocódigos de la Fase 2.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Sin embargo, el PUNZONAMIENTO en el pilar de esquina NO se cumple (aprov. 173 %) y la FISURACIÓN queda en el límite (wk = 0.30 mm). Para una losa de canto 20 cm en esta configuración, el motor recomienda: aumentar el canto de la losa (o disponer ábaco/capitel), añadir armadura de punzonamiento, y revisar la clase de exposición / separación de armadura para la fisuración.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Limitaciones: análisis lineal; no se comprueba punzonamiento de la losa en zonas de pilar (donde aparecen concentraciones locales de momento), ni fisuración detallada, ni pandeo lateral de vigas; el armado propuesto es de predimensionado y debe detallarse. Todo cálculo debe ser revisado y firmado por técnico competente.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Estructurando — pág.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777777"/>
        <w:sz w:val="16"/>
        <w:szCs w:val="16"/>
      </w:rPr>
      <w:t xml:space="preserve">Memoria de cálculo · Módulo pórtico + losa ·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2c18b71e6baccd94e0444caa444255fd3f6fbc.png"/><Relationship Id="rId10" Type="http://schemas.openxmlformats.org/officeDocument/2006/relationships/image" Target="media/c4706bf6a9607ab2daa1bdd30383d4e19b1deddf.png"/><Relationship Id="rId11" Type="http://schemas.openxmlformats.org/officeDocument/2006/relationships/image" Target="media/5d72eca2e58323854e1eefa4a39a81cf957db7ff.png"/><Relationship Id="rId12" Type="http://schemas.openxmlformats.org/officeDocument/2006/relationships/image" Target="media/d9109de1fbff2e44bb16248542b0c7ba04ee2c8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2026-06-21T07:35:26.803Z</dcterms:created>
  <dcterms:modified xsi:type="dcterms:W3CDTF">2026-06-21T07:35:26.804Z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