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Pórtico de acero — caso-01</w:t>
      </w:r>
    </w:p>
    <w:p>
      <w:pPr>
        <w:spacing w:before="120" w:after="120"/>
        <w:jc w:val="left"/>
      </w:pPr>
      <w:r>
        <w:rPr>
          <w:b/>
          <w:color w:val="1F4E79"/>
          <w:sz w:val="26"/>
        </w:rPr>
        <w:t xml:space="preserve">VEREDICTO GLOBAL:  </w:t>
      </w:r>
      <w:r>
        <w:rPr>
          <w:b/>
          <w:color w:val="2E7D32"/>
          <w:sz w:val="26"/>
        </w:rPr>
        <w:t>CUMPLE (aprov. máx. 0,446)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Estructurando — motor de cálculo estructural, caso-01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6520"/>
          </w:tcPr>
          <w:p>
            <w:r>
              <w:t>Estructuras · acero (EC3)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r>
              <w:t>Memoria de cálculo del pórtico — predimensionado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520"/>
          </w:tcPr>
          <w:p>
            <w:r>
              <w:t>Pórtico plano biarticulado (HEB 200 + IPE 330, S275)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6520"/>
          </w:tcPr>
          <w:p>
            <w:r>
              <w:t>[Nombre] — Ingeniero de Caminos, Canales y Puertos · Col. nº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23/06/2026 · Rev. 00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CÁLCULO. Debe ser revisado y firmado por técnico competente antes de su uso. Parámetros sujetos al Anejo Nacional marcados «[confirmar AN]».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—</w:t>
        <w:fldChar w:fldCharType="end"/>
      </w:r>
    </w:p>
    <w:p>
      <w:r>
        <w:br w:type="page"/>
      </w:r>
    </w:p>
    <w:p>
      <w:r>
        <w:rPr>
          <w:i/>
          <w:color w:val="B00000"/>
          <w:sz w:val="19"/>
        </w:rPr>
        <w:t>Predimensionado / asistencia al cálculo. Debe ser revisado y firmado por técnico competente. NDP marcados [confirmar AN].</w:t>
      </w:r>
    </w:p>
    <w:p>
      <w:pPr>
        <w:pStyle w:val="Heading1"/>
      </w:pPr>
      <w:r>
        <w:t>1. Objeto y alcance</w:t>
      </w:r>
    </w:p>
    <w:p>
      <w:r>
        <w:t>Se predimensiona un pórtico plano biarticulado de acero (dos pilares HEB 200 y un dintel IPE 330, acero S275), de 6,0 m de luz y 4,0 m de altura, sometido a carga vertical sobre el dintel. Se comprueban resistencia (EC3) y deformación (ELS). Quedan fuera del alcance las acciones horizontales, el pandeo lateral del dintel y las uniones.</w:t>
      </w:r>
    </w:p>
    <w:p>
      <w:pPr>
        <w:pStyle w:val="Heading1"/>
      </w:pPr>
      <w:r>
        <w:t>2. Normativa aplicada</w:t>
      </w:r>
    </w:p>
    <w:p>
      <w:r>
        <w:t>EN 1993-1-1 (EC3) para el acero, con EN 1990 (EC0) para combinaciones y EN 1991 (EC1) para acciones; Anejo Nacional de España [confirmar AN]. Propiedades de los perfiles laminados tomadas de catálogo europeo (modelo_neutro.json).</w:t>
      </w:r>
    </w:p>
    <w:p>
      <w:pPr>
        <w:pStyle w:val="Heading1"/>
      </w:pPr>
      <w:r>
        <w:t>3. Datos de partida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11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Parámetro</w:t>
            </w:r>
          </w:p>
        </w:tc>
        <w:tc>
          <w:tcPr>
            <w:tcW w:type="dxa" w:w="3969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198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Origen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Geometría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Luz 6,0 m · altura 4,0 m · biarticulado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modelo_neutro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Pilares C1, C2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HEB 200 (S275, clase 1)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secciones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Dintel B1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IPE 330 (S275, clase 1)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secciones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Carga permanente G (dintel)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12,0 kN/m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cargas.G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Sobrecarga de uso Q (dintel)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10,0 kN/m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cargas.Q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19"/>
              </w:rPr>
              <w:t>Acero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S275 (f_y = 275 MPa, t ≤ 16 mm)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material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Datos de partida (modelo_neutro.json).</w:t>
      </w:r>
    </w:p>
    <w:p>
      <w:pPr>
        <w:pStyle w:val="Heading1"/>
      </w:pPr>
      <w:r>
        <w:t>4. Hipótesis: acciones y combinaciones</w:t>
      </w:r>
    </w:p>
    <w:p>
      <w:r>
        <w:t>Coeficientes de mayoración (γ) y reglas de combinación adoptados (combos_meta de resultados.json). Una sola acción variable: no interviene ψ₀.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72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Combinación</w:t>
            </w:r>
          </w:p>
        </w:tc>
        <w:tc>
          <w:tcPr>
            <w:tcW w:type="dxa" w:w="192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Expresión</w:t>
            </w:r>
          </w:p>
        </w:tc>
        <w:tc>
          <w:tcPr>
            <w:tcW w:type="dxa" w:w="249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Coef. γ</w:t>
            </w:r>
          </w:p>
        </w:tc>
        <w:tc>
          <w:tcPr>
            <w:tcW w:type="dxa" w:w="192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ELU (resistencia)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1,35·G + 1,50·Q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γ_G = 1,35 · γ_Q = 1,50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EC0 §6.4.3.2 (6.10)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ELS característica (flecha total)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G + Q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EC0 (6.14b)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ELS frecuente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G + 0,5·Q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ψ₁ = 0,5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EC0 (6.15b)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ELS casi permanente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G + 0,3·Q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ψ₂ = 0,3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EC0 (6.16b)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ELS flecha activa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Q (proxy variable)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sz w:val="19"/>
              </w:rPr>
              <w:t>criterio de despacho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Coeficientes de mayoración y combinaciones. q_Ed (ELU) = 1,35·12 + 1,50·10 = 31,2 kN/m.</w:t>
      </w:r>
    </w:p>
    <w:p>
      <w:r>
        <w:t>El esquema de cargas se representa en la Figura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64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ico_carg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6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1. Esquema de cargas del pórtico (carga repartida de cálculo sobre el dintel, apoyos articulados).</w:t>
      </w:r>
    </w:p>
    <w:p>
      <w:pPr>
        <w:pStyle w:val="Heading1"/>
      </w:pPr>
      <w:r>
        <w:t>5. Modelo e idealización</w:t>
      </w:r>
    </w:p>
    <w:p>
      <w:r>
        <w:t>Pórtico plano de tres barras (dos pilares y dintel) con nudos rígidos viga-pilar y bases articuladas, resuelto con el motor de cálculo (FEM de barras). El análisis es elástico lineal de primer orden.</w:t>
      </w:r>
    </w:p>
    <w:p>
      <w:pPr>
        <w:pStyle w:val="Heading1"/>
      </w:pPr>
      <w:r>
        <w:t>6. Cálculo y resultados — diagramas de esfuerzos</w:t>
      </w:r>
    </w:p>
    <w:p>
      <w:r>
        <w:t>Leyes de esfuerzos en ELU (1,35·G + 1,50·Q) obtenidas del modelo (resultados.json). Se priorizan los diagramas frente a su descripción numérica.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08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ico_esfuerz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2. Diagramas de axil (N), cortante (V) y momento flector (M) en ELU.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40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Esfuerzo (ELU)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340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Ubicación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Momento en vano (dintel)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−91,6 kN·m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centro de B1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Momento en nudo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48,8 kN·m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esquinas (C-B)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Cortante máximo (dintel)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±93,6 kN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apoyos de B1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Axil en pilares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−93,6 kN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C1, C2 (compresión)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Cortante en pilares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12,2 kN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sz w:val="19"/>
              </w:rPr>
              <w:t>C1, C2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3. Esfuerzos de cálculo (resultados.json).</w:t>
      </w:r>
    </w:p>
    <w:p>
      <w:pPr>
        <w:pStyle w:val="Heading1"/>
      </w:pPr>
      <w:r>
        <w:t>7. Comprobaciones (EC3 + ELS)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60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Comprobación</w:t>
            </w:r>
          </w:p>
        </w:tc>
        <w:tc>
          <w:tcPr>
            <w:tcW w:type="dxa" w:w="181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36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47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81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 / Veredicto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Dintel · flexión M_c,Rd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EC3 §6.2.5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91,6 kN·m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221,2 kN·m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0,414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Dintel · cortante V_pl,Rd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EC3 §6.2.6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93,6 kN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489 kN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0,191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Dintel · flecha total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EC0 §7.4 / despacho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L/300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0,446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Pilar · interacción N+M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EC3 §6.2.1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0,320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Pilar · pandeo N_b,Rd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EC3 §6.3.1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93,6 kN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1.860 kN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0,050 · 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4. Comprobaciones (verificacion.json). Gobierna la flecha total del dintel.</w:t>
      </w:r>
    </w:p>
    <w:p>
      <w:pPr>
        <w:pStyle w:val="Heading1"/>
      </w:pPr>
      <w:r>
        <w:t>8. Conclusiones y limitaciones</w:t>
      </w:r>
    </w:p>
    <w:p>
      <w:r>
        <w:t>VEREDICTO: CUMPLE. Aprovechamiento máximo 0,446, gobernado por la flecha total del dintel (ELS); la resistencia de las secciones queda holgada. Pendiente [PENDIENTE]: acciones horizontales, pandeo lateral del dintel y diseño de uniones.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Nota de verificación: documento sujeto a revisión y firma de técnico competente. Trazabilidad: modelo_neutro.json · resultados.json · verificacion.json.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[Autor] ICCP · Predimensionado</w:t>
      <w:tab/>
    </w:r>
    <w:r>
      <w:rPr>
        <w:color w:val="595959"/>
        <w:sz w:val="17"/>
      </w:rPr>
      <w:t xml:space="preserve">Pág. </w:t>
    </w:r>
    <w:r>
      <w:fldChar w:fldCharType="begin"/>
      <w:instrText xml:space="preserve">PAGE</w:instrText>
      <w:fldChar w:fldCharType="separate"/>
      <w:t>—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—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Estructurando · Acero · Pórtico caso-01 — Memoria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