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4E79"/>
          <w:sz w:val="40"/>
          <w:szCs w:val="40"/>
        </w:rPr>
        <w:t xml:space="preserve">MEMORIA DE CÁLCULO ESTRUCTURAL</w:t>
      </w:r>
    </w:p>
    <w:p>
      <w:pPr>
        <w:spacing w:after="80"/>
        <w:jc w:val="center"/>
      </w:pPr>
      <w:r>
        <w:rPr>
          <w:sz w:val="26"/>
          <w:szCs w:val="26"/>
        </w:rPr>
        <w:t xml:space="preserve">Pórtico plano de acero — Prueba de concepto (Fase 1)</w:t>
      </w:r>
    </w:p>
    <w:p>
      <w:pPr>
        <w:spacing w:after="80"/>
        <w:jc w:val="center"/>
      </w:pPr>
      <w:r>
        <w:rPr>
          <w:color w:val="555555"/>
          <w:sz w:val="22"/>
          <w:szCs w:val="22"/>
        </w:rPr>
        <w:t xml:space="preserve">Motor de cálculo IFC → FEM → Eurocódigos</w:t>
      </w:r>
    </w:p>
    <w:p>
      <w:pPr>
        <w:spacing w:after="80" w:before="600"/>
        <w:jc w:val="center"/>
      </w:pPr>
      <w:r>
        <w:rPr>
          <w:sz w:val="22"/>
          <w:szCs w:val="22"/>
        </w:rPr>
        <w:t xml:space="preserve">Proyecto: Estructurando</w:t>
      </w:r>
    </w:p>
    <w:p>
      <w:pPr>
        <w:jc w:val="center"/>
      </w:pPr>
      <w:r>
        <w:rPr>
          <w:sz w:val="22"/>
          <w:szCs w:val="22"/>
        </w:rPr>
        <w:t xml:space="preserve">Fecha: 21/06/2026</w:t>
      </w:r>
    </w:p>
    <w:p>
      <w:pPr>
        <w:spacing w:before="800"/>
        <w:jc w:val="center"/>
      </w:pPr>
      <w:r>
        <w:rPr>
          <w:i/>
          <w:iCs/>
          <w:color w:val="999999"/>
          <w:sz w:val="18"/>
          <w:szCs w:val="18"/>
        </w:rPr>
        <w:t xml:space="preserve">Documento generado automáticamente. Los cálculos deben ser revisados y firmados por técnico competente.</w:t>
      </w:r>
    </w:p>
    <w:p>
      <w:pPr>
        <w:pageBreakBefore/>
      </w:pPr>
    </w:p>
    <w:p>
      <w:pPr>
        <w:pStyle w:val="Heading1"/>
      </w:pPr>
      <w:r>
        <w:t xml:space="preserve">1. Objeto y alcance</w:t>
      </w:r>
    </w:p>
    <w:p>
      <w:pPr>
        <w:spacing w:after="120"/>
      </w:pPr>
      <w:r>
        <w:t xml:space="preserve">La presente memoria justifica el cálculo estructural de un pórtico plano de acero de un vano, realizado mediante un motor de cálculo automatizado que parte de un modelo IFC con dominio de análisis estructural y obtiene esfuerzos, combinaciones de acciones, comprobaciones según los Eurocódigos y la representación gráfica de resultados. Constituye la prueba de concepto (Fase 1) del flujo IFC → modelo estructural → análisis FEM → verificación → memoria, limitada a elementos de barra.</w:t>
      </w:r>
    </w:p>
    <w:p>
      <w:pPr>
        <w:pStyle w:val="Heading1"/>
      </w:pPr>
      <w:r>
        <w:t xml:space="preserve">2. Normativa de aplicación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126"/>
        <w:gridCol w:w="3000"/>
      </w:tblGrid>
      <w:tr>
        <w:trPr>
          <w:tblHeader/>
        </w:trPr>
        <w:tc>
          <w:tcPr>
            <w:tcW w:type="dxa" w:w="1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Código</w:t>
            </w:r>
          </w:p>
        </w:tc>
        <w:tc>
          <w:tcPr>
            <w:tcW w:type="dxa" w:w="41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Título</w:t>
            </w:r>
          </w:p>
        </w:tc>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Uso en esta memoria</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EN 1990 (EC0)</w:t>
            </w:r>
          </w:p>
        </w:tc>
        <w:tc>
          <w:tcPr>
            <w:tcW w:type="dxa" w:w="4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Bases de cálculo estructural</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Combinaciones ELU/ELS, coef. parciales y ψ</w:t>
            </w:r>
          </w:p>
        </w:tc>
      </w:tr>
      <w:tr>
        <w:tc>
          <w:tcPr>
            <w:tcW w:type="dxa" w:w="19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EN 1991 (EC1)</w:t>
            </w:r>
          </w:p>
        </w:tc>
        <w:tc>
          <w:tcPr>
            <w:tcW w:type="dxa" w:w="41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Acciones en las estructuras</w:t>
            </w:r>
          </w:p>
        </w:tc>
        <w:tc>
          <w:tcPr>
            <w:tcW w:type="dxa" w:w="3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Acciones permanentes G y variables Q</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EN 1993-1-1 (EC3)</w:t>
            </w:r>
          </w:p>
        </w:tc>
        <w:tc>
          <w:tcPr>
            <w:tcW w:type="dxa" w:w="4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Proyecto de estructuras de acero</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Resistencia de secciones y pandeo</w:t>
            </w:r>
          </w:p>
        </w:tc>
      </w:tr>
      <w:tr>
        <w:tc>
          <w:tcPr>
            <w:tcW w:type="dxa" w:w="19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AN España</w:t>
            </w:r>
          </w:p>
        </w:tc>
        <w:tc>
          <w:tcPr>
            <w:tcW w:type="dxa" w:w="41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Anejos Nacionales</w:t>
            </w:r>
          </w:p>
        </w:tc>
        <w:tc>
          <w:tcPr>
            <w:tcW w:type="dxa" w:w="3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Coeficientes y parámetros NDP [confirmar AN]</w:t>
            </w:r>
          </w:p>
        </w:tc>
      </w:tr>
    </w:tbl>
    <w:p>
      <w:pPr>
        <w:spacing w:after="120"/>
        <w:rPr>
          <w:i/>
          <w:iCs/>
          <w:sz w:val="18"/>
          <w:szCs w:val="18"/>
        </w:rPr>
      </w:pPr>
      <w:r>
        <w:rPr>
          <w:i/>
          <w:iCs/>
          <w:sz w:val="18"/>
          <w:szCs w:val="18"/>
        </w:rPr>
        <w:t xml:space="preserve">Los valores de parámetros de determinación nacional (NDP) se han tomado del Anejo Nacional español de uso habitual en el despacho y se marcan como [confirmar AN] cuando proceda.</w:t>
      </w:r>
    </w:p>
    <w:p>
      <w:pPr>
        <w:pStyle w:val="Heading1"/>
      </w:pPr>
      <w:r>
        <w:t xml:space="preserve">3. Descripción del modelo</w:t>
      </w:r>
    </w:p>
    <w:p>
      <w:pPr>
        <w:pStyle w:val="Heading2"/>
      </w:pPr>
      <w:r>
        <w:t xml:space="preserve">3.1 Geometría y nodos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tblHeader/>
        </w:trPr>
        <w:tc>
          <w:tcPr>
            <w:tcW w:type="dxa" w:w="225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Nodo</w:t>
            </w:r>
          </w:p>
        </w:tc>
        <w:tc>
          <w:tcPr>
            <w:tcW w:type="dxa" w:w="225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x [m]</w:t>
            </w:r>
          </w:p>
        </w:tc>
        <w:tc>
          <w:tcPr>
            <w:tcW w:type="dxa" w:w="225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z [m]</w:t>
            </w:r>
          </w:p>
        </w:tc>
        <w:tc>
          <w:tcPr>
            <w:tcW w:type="dxa" w:w="225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Coacción</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N1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0.00</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0.00</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Empotrado</w:t>
            </w:r>
          </w:p>
        </w:tc>
      </w:tr>
      <w:tr>
        <w:tc>
          <w:tcPr>
            <w:tcW w:type="dxa" w:w="225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N2</w:t>
            </w:r>
          </w:p>
        </w:tc>
        <w:tc>
          <w:tcPr>
            <w:tcW w:type="dxa" w:w="225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0.00</w:t>
            </w:r>
          </w:p>
        </w:tc>
        <w:tc>
          <w:tcPr>
            <w:tcW w:type="dxa" w:w="2257"/>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4.00</w:t>
            </w:r>
          </w:p>
        </w:tc>
        <w:tc>
          <w:tcPr>
            <w:tcW w:type="dxa" w:w="2257"/>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Libre</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N3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6.00</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4.00</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Libre</w:t>
            </w:r>
          </w:p>
        </w:tc>
      </w:tr>
      <w:tr>
        <w:tc>
          <w:tcPr>
            <w:tcW w:type="dxa" w:w="225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N4</w:t>
            </w:r>
          </w:p>
        </w:tc>
        <w:tc>
          <w:tcPr>
            <w:tcW w:type="dxa" w:w="225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6.00</w:t>
            </w:r>
          </w:p>
        </w:tc>
        <w:tc>
          <w:tcPr>
            <w:tcW w:type="dxa" w:w="2257"/>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0.00</w:t>
            </w:r>
          </w:p>
        </w:tc>
        <w:tc>
          <w:tcPr>
            <w:tcW w:type="dxa" w:w="2257"/>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Empotrado</w:t>
            </w:r>
          </w:p>
        </w:tc>
      </w:tr>
    </w:tbl>
    <w:p>
      <w:pPr>
        <w:pStyle w:val="Heading2"/>
      </w:pPr>
      <w:r>
        <w:t xml:space="preserve">3.2 Materiales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rPr>
          <w:tblHeader/>
        </w:trPr>
        <w:tc>
          <w:tcPr>
            <w:tcW w:type="dxa" w:w="30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Material</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E [GPa]</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fy [MPa]</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ν</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ρ [kg/m³]</w:t>
            </w:r>
          </w:p>
        </w:tc>
      </w:tr>
      <w:tr>
        <w:tc>
          <w:tcPr>
            <w:tcW w:type="dxa" w:w="3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S275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210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275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0.30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7850</w:t>
            </w:r>
          </w:p>
        </w:tc>
      </w:tr>
    </w:tbl>
    <w:p>
      <w:pPr>
        <w:pStyle w:val="Heading2"/>
      </w:pPr>
      <w:r>
        <w:t xml:space="preserve">3.3 Secciones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400"/>
        <w:gridCol w:w="1400"/>
        <w:gridCol w:w="1600"/>
        <w:gridCol w:w="1300"/>
        <w:gridCol w:w="1300"/>
      </w:tblGrid>
      <w:tr>
        <w:trPr>
          <w:tblHeader/>
        </w:trPr>
        <w:tc>
          <w:tcPr>
            <w:tcW w:type="dxa" w:w="20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Sección</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A [cm²]</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Iy [cm⁴]</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Wpl,y [cm³]</w:t>
            </w:r>
          </w:p>
        </w:tc>
        <w:tc>
          <w:tcPr>
            <w:tcW w:type="dxa" w:w="1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Avz [cm²]</w:t>
            </w:r>
          </w:p>
        </w:tc>
        <w:tc>
          <w:tcPr>
            <w:tcW w:type="dxa" w:w="1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Clase</w:t>
            </w:r>
          </w:p>
        </w:tc>
      </w:tr>
      <w:tr>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HEB 200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78.08</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5696</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643</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24.83</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Clase 1</w:t>
            </w:r>
          </w:p>
        </w:tc>
      </w:tr>
      <w:tr>
        <w:tc>
          <w:tcPr>
            <w:tcW w:type="dxa" w:w="2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IPE 330</w:t>
            </w:r>
          </w:p>
        </w:tc>
        <w:tc>
          <w:tcPr>
            <w:tcW w:type="dxa" w:w="14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62.61</w:t>
            </w:r>
          </w:p>
        </w:tc>
        <w:tc>
          <w:tcPr>
            <w:tcW w:type="dxa" w:w="14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11770</w:t>
            </w:r>
          </w:p>
        </w:tc>
        <w:tc>
          <w:tcPr>
            <w:tcW w:type="dxa" w:w="16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804</w:t>
            </w:r>
          </w:p>
        </w:tc>
        <w:tc>
          <w:tcPr>
            <w:tcW w:type="dxa" w:w="13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30.81</w:t>
            </w:r>
          </w:p>
        </w:tc>
        <w:tc>
          <w:tcPr>
            <w:tcW w:type="dxa" w:w="13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Clase 1</w:t>
            </w:r>
          </w:p>
        </w:tc>
      </w:tr>
    </w:tbl>
    <w:p>
      <w:pPr>
        <w:pStyle w:val="Heading2"/>
      </w:pPr>
      <w:r>
        <w:t xml:space="preserve">3.4 Barras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626"/>
        <w:gridCol w:w="1700"/>
        <w:gridCol w:w="1700"/>
        <w:gridCol w:w="1300"/>
      </w:tblGrid>
      <w:tr>
        <w:trPr>
          <w:tblHeader/>
        </w:trPr>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Barra</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Tipo</w:t>
            </w:r>
          </w:p>
        </w:tc>
        <w:tc>
          <w:tcPr>
            <w:tcW w:type="dxa" w:w="16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Nodos</w:t>
            </w:r>
          </w:p>
        </w:tc>
        <w:tc>
          <w:tcPr>
            <w:tcW w:type="dxa" w:w="1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Sección</w:t>
            </w:r>
          </w:p>
        </w:tc>
        <w:tc>
          <w:tcPr>
            <w:tcW w:type="dxa" w:w="1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Material</w:t>
            </w:r>
          </w:p>
        </w:tc>
        <w:tc>
          <w:tcPr>
            <w:tcW w:type="dxa" w:w="1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L [m]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C1</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RIGID_JOINED_MEMBER</w:t>
            </w:r>
          </w:p>
        </w:tc>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N1 → N2</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HEB 200</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S275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4.00</w:t>
            </w:r>
          </w:p>
        </w:tc>
      </w:tr>
      <w:tr>
        <w:tc>
          <w:tcPr>
            <w:tcW w:type="dxa" w:w="12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B1</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RIGID_JOINED_MEMBER</w:t>
            </w:r>
          </w:p>
        </w:tc>
        <w:tc>
          <w:tcPr>
            <w:tcW w:type="dxa" w:w="16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N2 → N3</w:t>
            </w:r>
          </w:p>
        </w:tc>
        <w:tc>
          <w:tcPr>
            <w:tcW w:type="dxa" w:w="17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IPE 330</w:t>
            </w:r>
          </w:p>
        </w:tc>
        <w:tc>
          <w:tcPr>
            <w:tcW w:type="dxa" w:w="17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S275</w:t>
            </w:r>
          </w:p>
        </w:tc>
        <w:tc>
          <w:tcPr>
            <w:tcW w:type="dxa" w:w="13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6.00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C2</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RIGID_JOINED_MEMBER</w:t>
            </w:r>
          </w:p>
        </w:tc>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N4 → N3</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HEB 200</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S275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4.00</w:t>
            </w:r>
          </w:p>
        </w:tc>
      </w:tr>
    </w:tbl>
    <w:p>
      <w:pPr>
        <w:pStyle w:val="Heading1"/>
      </w:pPr>
      <w:r>
        <w:t xml:space="preserve">4. Acciones y combinaciones</w:t>
      </w:r>
    </w:p>
    <w:p>
      <w:pPr>
        <w:pStyle w:val="Heading2"/>
      </w:pPr>
      <w:r>
        <w:t xml:space="preserve">4.1 Acciones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tblHeader/>
        </w:trPr>
        <w:tc>
          <w:tcPr>
            <w:tcW w:type="dxa" w:w="225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Caso</w:t>
            </w:r>
          </w:p>
        </w:tc>
        <w:tc>
          <w:tcPr>
            <w:tcW w:type="dxa" w:w="225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Barra</w:t>
            </w:r>
          </w:p>
        </w:tc>
        <w:tc>
          <w:tcPr>
            <w:tcW w:type="dxa" w:w="225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Dirección</w:t>
            </w:r>
          </w:p>
        </w:tc>
        <w:tc>
          <w:tcPr>
            <w:tcW w:type="dxa" w:w="225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q [kN/m]</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G</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B1</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GZ</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12.00</w:t>
            </w:r>
          </w:p>
        </w:tc>
      </w:tr>
      <w:tr>
        <w:tc>
          <w:tcPr>
            <w:tcW w:type="dxa" w:w="225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Q</w:t>
            </w:r>
          </w:p>
        </w:tc>
        <w:tc>
          <w:tcPr>
            <w:tcW w:type="dxa" w:w="225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B1</w:t>
            </w:r>
          </w:p>
        </w:tc>
        <w:tc>
          <w:tcPr>
            <w:tcW w:type="dxa" w:w="2257"/>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GZ</w:t>
            </w:r>
          </w:p>
        </w:tc>
        <w:tc>
          <w:tcPr>
            <w:tcW w:type="dxa" w:w="2257"/>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10.00</w:t>
            </w:r>
          </w:p>
        </w:tc>
      </w:tr>
    </w:tbl>
    <w:p>
      <w:pPr>
        <w:pStyle w:val="Heading2"/>
      </w:pPr>
      <w:r>
        <w:t xml:space="preserve">4.2 Combinaciones (EC0)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3126"/>
        <w:gridCol w:w="300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Combinación</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Tipo</w:t>
            </w:r>
          </w:p>
        </w:tc>
        <w:tc>
          <w:tcPr>
            <w:tcW w:type="dxa" w:w="31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Expresión</w:t>
            </w:r>
          </w:p>
        </w:tc>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Referencia</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ELU</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ELU</w:t>
            </w:r>
          </w:p>
        </w:tc>
        <w:tc>
          <w:tcPr>
            <w:tcW w:type="dxa" w:w="3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1.35*G + 1.50*Q</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EC0 6.10</w:t>
            </w:r>
          </w:p>
        </w:tc>
      </w:tr>
      <w:tr>
        <w:tc>
          <w:tcPr>
            <w:tcW w:type="dxa" w:w="18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ELU_G</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ELU</w:t>
            </w:r>
          </w:p>
        </w:tc>
        <w:tc>
          <w:tcPr>
            <w:tcW w:type="dxa" w:w="31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1.35*G</w:t>
            </w:r>
          </w:p>
        </w:tc>
        <w:tc>
          <w:tcPr>
            <w:tcW w:type="dxa" w:w="3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EC0 6.10</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ELS_car</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ELS</w:t>
            </w:r>
          </w:p>
        </w:tc>
        <w:tc>
          <w:tcPr>
            <w:tcW w:type="dxa" w:w="3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G + Q</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EC0 6.14b</w:t>
            </w:r>
          </w:p>
        </w:tc>
      </w:tr>
      <w:tr>
        <w:tc>
          <w:tcPr>
            <w:tcW w:type="dxa" w:w="18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ELS_fre</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ELS</w:t>
            </w:r>
          </w:p>
        </w:tc>
        <w:tc>
          <w:tcPr>
            <w:tcW w:type="dxa" w:w="31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G + 0.5*Q</w:t>
            </w:r>
          </w:p>
        </w:tc>
        <w:tc>
          <w:tcPr>
            <w:tcW w:type="dxa" w:w="3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EC0 6.15b</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ELS_cp</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ELS</w:t>
            </w:r>
          </w:p>
        </w:tc>
        <w:tc>
          <w:tcPr>
            <w:tcW w:type="dxa" w:w="3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G + 0.3*Q</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EC0 6.16b</w:t>
            </w:r>
          </w:p>
        </w:tc>
      </w:tr>
      <w:tr>
        <w:tc>
          <w:tcPr>
            <w:tcW w:type="dxa" w:w="18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ELS_act</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ELS</w:t>
            </w:r>
          </w:p>
        </w:tc>
        <w:tc>
          <w:tcPr>
            <w:tcW w:type="dxa" w:w="31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Q</w:t>
            </w:r>
          </w:p>
        </w:tc>
        <w:tc>
          <w:tcPr>
            <w:tcW w:type="dxa" w:w="3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criterio despacho</w:t>
            </w:r>
          </w:p>
        </w:tc>
      </w:tr>
    </w:tbl>
    <w:p>
      <w:pPr>
        <w:spacing w:after="120"/>
        <w:rPr>
          <w:sz w:val="18"/>
          <w:szCs w:val="18"/>
        </w:rPr>
      </w:pPr>
      <w:r>
        <w:rPr>
          <w:sz w:val="18"/>
          <w:szCs w:val="18"/>
        </w:rPr>
        <w:t xml:space="preserve">Coeficientes parciales (AN España): γG = 1,35 (desfav.) / 1,00 (fav.); γQ = 1,50. Factores de simultaneidad ψ (Cat. B – oficinas): ψ0 = 0,7; ψ1 = 0,5; ψ2 = 0,3. [confirmar AN]</w:t>
      </w:r>
    </w:p>
    <w:p>
      <w:pPr>
        <w:pStyle w:val="Heading1"/>
      </w:pPr>
      <w:r>
        <w:t xml:space="preserve">5. Procedimiento de cálculo y validación</w:t>
      </w:r>
    </w:p>
    <w:p>
      <w:pPr>
        <w:spacing w:after="120"/>
      </w:pPr>
      <w:r>
        <w:t xml:space="preserve">El cálculo sigue una cadena determinista y trazable: (1) lectura del IFC con IfcOpenShell y extracción del modelo de análisis a un modelo neutro; (2) ensamblaje y resolución por elementos finitos de barra (PyNite); (3) combinación de acciones según EC0; (4) comprobación según EC3. El modelo plano se analiza en un solver tridimensional coaccionando los grados de libertad fuera del plano.</w:t>
      </w:r>
    </w:p>
    <w:p>
      <w:pPr>
        <w:spacing w:after="120"/>
        <w:rPr>
          <w:b/>
          <w:bCs/>
        </w:rPr>
      </w:pPr>
      <w:r>
        <w:rPr>
          <w:b/>
          <w:bCs/>
        </w:rPr>
        <w:t xml:space="preserve">Validación del solver (autodiagnóstico): se contrasta una viga biapoyada con carga uniforme frente a su solución analítica cerrada antes de aceptar los resultados.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Magnitud</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Calculado</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Teórico</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Error</w:t>
            </w:r>
          </w:p>
        </w:tc>
      </w:tr>
      <w:tr>
        <w:tc>
          <w:tcPr>
            <w:tcW w:type="dxa" w:w="3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Momento M = qL²/8</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90.0 kN·m</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90.0 kN·m</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0.000 %</w:t>
            </w:r>
          </w:p>
        </w:tc>
      </w:tr>
      <w:tr>
        <w:tc>
          <w:tcPr>
            <w:tcW w:type="dxa" w:w="3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Cortante V = qL/2</w:t>
            </w:r>
          </w:p>
        </w:tc>
        <w:tc>
          <w:tcPr>
            <w:tcW w:type="dxa" w:w="2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60.0 kN</w:t>
            </w:r>
          </w:p>
        </w:tc>
        <w:tc>
          <w:tcPr>
            <w:tcW w:type="dxa" w:w="2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60.0 kN</w:t>
            </w:r>
          </w:p>
        </w:tc>
        <w:tc>
          <w:tcPr>
            <w:tcW w:type="dxa" w:w="2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0.000 %</w:t>
            </w:r>
          </w:p>
        </w:tc>
      </w:tr>
      <w:tr>
        <w:tc>
          <w:tcPr>
            <w:tcW w:type="dxa" w:w="3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Flecha 5qL⁴/384EI</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13.65 mm</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13.65 mm</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0.012 %</w:t>
            </w:r>
          </w:p>
        </w:tc>
      </w:tr>
    </w:tbl>
    <w:p>
      <w:pPr>
        <w:spacing w:after="120"/>
        <w:rPr>
          <w:b/>
          <w:bCs/>
          <w:color w:val="1E7A1E"/>
        </w:rPr>
      </w:pPr>
      <w:r>
        <w:rPr>
          <w:b/>
          <w:bCs/>
          <w:color w:val="1E7A1E"/>
        </w:rPr>
        <w:t xml:space="preserve">Resultado del autodiagnóstico: VÁLIDO (error &lt; 1 %).</w:t>
      </w:r>
    </w:p>
    <w:p>
      <w:pPr>
        <w:pStyle w:val="Heading2"/>
      </w:pPr>
      <w:r>
        <w:t xml:space="preserve">5.1 Validación cruzada con solver independiente</w:t>
      </w:r>
    </w:p>
    <w:p>
      <w:pPr>
        <w:spacing w:after="120"/>
      </w:pPr>
      <w:r>
        <w:t xml:space="preserve">Como verificación adicional, el pórtico se ha resuelto con un segundo motor de cálculo independiente (anaStruct, análisis matricial de barras 2D). Se comparan los esfuerzos máximos por barra bajo la combinación ELU; el acuerdo certifica tanto el cálculo como el criterio de signos.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6"/>
        <w:gridCol w:w="2700"/>
        <w:gridCol w:w="2300"/>
        <w:gridCol w:w="2300"/>
        <w:gridCol w:w="1600"/>
      </w:tblGrid>
      <w:tr>
        <w:trPr>
          <w:tblHeader/>
        </w:trPr>
        <w:tc>
          <w:tcPr>
            <w:tcW w:type="dxa" w:w="11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Barra</w:t>
            </w:r>
          </w:p>
        </w:tc>
        <w:tc>
          <w:tcPr>
            <w:tcW w:type="dxa" w:w="2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M [kN·m] PyNite/anaStruct</w:t>
            </w:r>
          </w:p>
        </w:tc>
        <w:tc>
          <w:tcPr>
            <w:tcW w:type="dxa" w:w="2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 [kN] PyNite/anaStruct</w:t>
            </w:r>
          </w:p>
        </w:tc>
        <w:tc>
          <w:tcPr>
            <w:tcW w:type="dxa" w:w="2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N [kN] PyNite/anaStruct</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Error</w:t>
            </w:r>
          </w:p>
        </w:tc>
      </w:tr>
      <w:tr>
        <w:tc>
          <w:tcPr>
            <w:tcW w:type="dxa" w:w="1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C1</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48.8 / 48.8</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12.2 / 12.2</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93.6 / 93.6</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0.00 %</w:t>
            </w:r>
          </w:p>
        </w:tc>
      </w:tr>
      <w:tr>
        <w:tc>
          <w:tcPr>
            <w:tcW w:type="dxa" w:w="11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B1</w:t>
            </w:r>
          </w:p>
        </w:tc>
        <w:tc>
          <w:tcPr>
            <w:tcW w:type="dxa" w:w="27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91.6 / 91.6</w:t>
            </w:r>
          </w:p>
        </w:tc>
        <w:tc>
          <w:tcPr>
            <w:tcW w:type="dxa" w:w="23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93.6 / 93.6</w:t>
            </w:r>
          </w:p>
        </w:tc>
        <w:tc>
          <w:tcPr>
            <w:tcW w:type="dxa" w:w="23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12.2 / 12.2</w:t>
            </w:r>
          </w:p>
        </w:tc>
        <w:tc>
          <w:tcPr>
            <w:tcW w:type="dxa" w:w="16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0.06 %</w:t>
            </w:r>
          </w:p>
        </w:tc>
      </w:tr>
      <w:tr>
        <w:tc>
          <w:tcPr>
            <w:tcW w:type="dxa" w:w="1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C2</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48.8 / 48.8</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12.2 / 12.2</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93.6 / 93.6</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0.00 %</w:t>
            </w:r>
          </w:p>
        </w:tc>
      </w:tr>
    </w:tbl>
    <w:p>
      <w:pPr>
        <w:spacing w:after="120"/>
        <w:rPr>
          <w:b/>
          <w:bCs/>
          <w:color w:val="1E7A1E"/>
        </w:rPr>
      </w:pPr>
      <w:r>
        <w:rPr>
          <w:b/>
          <w:bCs/>
          <w:color w:val="1E7A1E"/>
        </w:rPr>
        <w:t xml:space="preserve">Resultado de la validación cruzada: CONFORME (diferencias &lt; 1 %).</w:t>
      </w:r>
    </w:p>
    <w:p>
      <w:pPr>
        <w:pageBreakBefore/>
      </w:pPr>
    </w:p>
    <w:p>
      <w:pPr>
        <w:pStyle w:val="Heading1"/>
      </w:pPr>
      <w:r>
        <w:t xml:space="preserve">6. Esfuerzos (envolvente ELU 1,35G + 1,50Q)</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tblHeader/>
        </w:trPr>
        <w:tc>
          <w:tcPr>
            <w:tcW w:type="dxa" w:w="225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Barra</w:t>
            </w:r>
          </w:p>
        </w:tc>
        <w:tc>
          <w:tcPr>
            <w:tcW w:type="dxa" w:w="225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N [kN]</w:t>
            </w:r>
          </w:p>
        </w:tc>
        <w:tc>
          <w:tcPr>
            <w:tcW w:type="dxa" w:w="225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 [kN]</w:t>
            </w:r>
          </w:p>
        </w:tc>
        <w:tc>
          <w:tcPr>
            <w:tcW w:type="dxa" w:w="225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M [kN·m]</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C1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93.6</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12.2</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48.8</w:t>
            </w:r>
          </w:p>
        </w:tc>
      </w:tr>
      <w:tr>
        <w:tc>
          <w:tcPr>
            <w:tcW w:type="dxa" w:w="225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B1</w:t>
            </w:r>
          </w:p>
        </w:tc>
        <w:tc>
          <w:tcPr>
            <w:tcW w:type="dxa" w:w="225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12.2</w:t>
            </w:r>
          </w:p>
        </w:tc>
        <w:tc>
          <w:tcPr>
            <w:tcW w:type="dxa" w:w="2257"/>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93.6</w:t>
            </w:r>
          </w:p>
        </w:tc>
        <w:tc>
          <w:tcPr>
            <w:tcW w:type="dxa" w:w="2257"/>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91.6</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C2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93.6</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12.2</w:t>
            </w:r>
          </w:p>
        </w:tc>
        <w:tc>
          <w:tcPr>
            <w:tcW w:type="dxa" w:w="2257"/>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48.8</w:t>
            </w:r>
          </w:p>
        </w:tc>
      </w:tr>
    </w:tbl>
    <w:p>
      <w:pPr>
        <w:jc w:val="center"/>
      </w:pPr>
      <w:r>
        <w:drawing>
          <wp:inline distT="0" distB="0" distL="0" distR="0">
            <wp:extent cx="3619500" cy="2857500"/>
            <wp:effectExtent t="0" r="0" b="0" l="0"/>
            <wp:docPr id="1" name="diag_momentos.png" descr="Figura 1. Ley de momentos flectores (ELU)." title="Figura 1. Ley de momentos flectores (E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857500"/>
                    </a:xfrm>
                    <a:prstGeom prst="rect">
                      <a:avLst/>
                    </a:prstGeom>
                  </pic:spPr>
                </pic:pic>
              </a:graphicData>
            </a:graphic>
          </wp:inline>
        </w:drawing>
      </w:r>
    </w:p>
    <w:p>
      <w:pPr>
        <w:spacing w:after="160"/>
        <w:jc w:val="center"/>
      </w:pPr>
      <w:r>
        <w:rPr>
          <w:i/>
          <w:iCs/>
          <w:color w:val="555555"/>
          <w:sz w:val="17"/>
          <w:szCs w:val="17"/>
        </w:rPr>
        <w:t xml:space="preserve">Figura 1. Ley de momentos flectores (ELU).</w:t>
      </w:r>
    </w:p>
    <w:p>
      <w:pPr>
        <w:jc w:val="center"/>
      </w:pPr>
      <w:r>
        <w:drawing>
          <wp:inline distT="0" distB="0" distL="0" distR="0">
            <wp:extent cx="3619500" cy="2857500"/>
            <wp:effectExtent t="0" r="0" b="0" l="0"/>
            <wp:docPr id="1" name="diag_cortantes.png" descr="Figura 2. Ley de cortantes (ELU)." title="Figura 2. Ley de cortantes (E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857500"/>
                    </a:xfrm>
                    <a:prstGeom prst="rect">
                      <a:avLst/>
                    </a:prstGeom>
                  </pic:spPr>
                </pic:pic>
              </a:graphicData>
            </a:graphic>
          </wp:inline>
        </w:drawing>
      </w:r>
    </w:p>
    <w:p>
      <w:pPr>
        <w:spacing w:after="160"/>
        <w:jc w:val="center"/>
      </w:pPr>
      <w:r>
        <w:rPr>
          <w:i/>
          <w:iCs/>
          <w:color w:val="555555"/>
          <w:sz w:val="17"/>
          <w:szCs w:val="17"/>
        </w:rPr>
        <w:t xml:space="preserve">Figura 2. Ley de cortantes (ELU).</w:t>
      </w:r>
    </w:p>
    <w:p>
      <w:pPr>
        <w:jc w:val="center"/>
      </w:pPr>
      <w:r>
        <w:drawing>
          <wp:inline distT="0" distB="0" distL="0" distR="0">
            <wp:extent cx="3619500" cy="2857500"/>
            <wp:effectExtent t="0" r="0" b="0" l="0"/>
            <wp:docPr id="1" name="diag_axiles.png" descr="Figura 3. Ley de axiles (ELU)." title="Figura 3. Ley de axiles (E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857500"/>
                    </a:xfrm>
                    <a:prstGeom prst="rect">
                      <a:avLst/>
                    </a:prstGeom>
                  </pic:spPr>
                </pic:pic>
              </a:graphicData>
            </a:graphic>
          </wp:inline>
        </w:drawing>
      </w:r>
    </w:p>
    <w:p>
      <w:pPr>
        <w:spacing w:after="160"/>
        <w:jc w:val="center"/>
      </w:pPr>
      <w:r>
        <w:rPr>
          <w:i/>
          <w:iCs/>
          <w:color w:val="555555"/>
          <w:sz w:val="17"/>
          <w:szCs w:val="17"/>
        </w:rPr>
        <w:t xml:space="preserve">Figura 3. Ley de axiles (ELU).</w:t>
      </w:r>
    </w:p>
    <w:p>
      <w:pPr>
        <w:pageBreakBefore/>
      </w:pPr>
    </w:p>
    <w:p>
      <w:pPr>
        <w:pStyle w:val="Heading1"/>
      </w:pPr>
      <w:r>
        <w:t xml:space="preserve">7. Estado límite de servicio (flechas)</w:t>
      </w:r>
    </w:p>
    <w:p>
      <w:pPr>
        <w:jc w:val="center"/>
      </w:pPr>
      <w:r>
        <w:drawing>
          <wp:inline distT="0" distB="0" distL="0" distR="0">
            <wp:extent cx="3619500" cy="2857500"/>
            <wp:effectExtent t="0" r="0" b="0" l="0"/>
            <wp:docPr id="1" name="deformada.png" descr="Figura 4. Deformada bajo combinación característica (amplificada)." title="Figura 4. Deformada bajo combinación característica (amplifi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857500"/>
                    </a:xfrm>
                    <a:prstGeom prst="rect">
                      <a:avLst/>
                    </a:prstGeom>
                  </pic:spPr>
                </pic:pic>
              </a:graphicData>
            </a:graphic>
          </wp:inline>
        </w:drawing>
      </w:r>
    </w:p>
    <w:p>
      <w:pPr>
        <w:spacing w:after="160"/>
        <w:jc w:val="center"/>
      </w:pPr>
      <w:r>
        <w:rPr>
          <w:i/>
          <w:iCs/>
          <w:color w:val="555555"/>
          <w:sz w:val="17"/>
          <w:szCs w:val="17"/>
        </w:rPr>
        <w:t xml:space="preserve">Figura 4. Deformada bajo combinación característica (amplificada).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6"/>
        <w:gridCol w:w="1300"/>
        <w:gridCol w:w="1300"/>
        <w:gridCol w:w="1300"/>
        <w:gridCol w:w="1300"/>
        <w:gridCol w:w="1300"/>
        <w:gridCol w:w="1300"/>
      </w:tblGrid>
      <w:tr>
        <w:trPr>
          <w:tblHeader/>
        </w:trPr>
        <w:tc>
          <w:tcPr>
            <w:tcW w:type="dxa" w:w="12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Barra</w:t>
            </w:r>
          </w:p>
        </w:tc>
        <w:tc>
          <w:tcPr>
            <w:tcW w:type="dxa" w:w="1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f_tot [mm]</w:t>
            </w:r>
          </w:p>
        </w:tc>
        <w:tc>
          <w:tcPr>
            <w:tcW w:type="dxa" w:w="1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lím [mm]</w:t>
            </w:r>
          </w:p>
        </w:tc>
        <w:tc>
          <w:tcPr>
            <w:tcW w:type="dxa" w:w="1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aprov.</w:t>
            </w:r>
          </w:p>
        </w:tc>
        <w:tc>
          <w:tcPr>
            <w:tcW w:type="dxa" w:w="1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f_act [mm]</w:t>
            </w:r>
          </w:p>
        </w:tc>
        <w:tc>
          <w:tcPr>
            <w:tcW w:type="dxa" w:w="1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lím [mm]</w:t>
            </w:r>
          </w:p>
        </w:tc>
        <w:tc>
          <w:tcPr>
            <w:tcW w:type="dxa" w:w="1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aprov.</w:t>
            </w:r>
          </w:p>
        </w:tc>
      </w:tr>
      <w:tr>
        <w:tc>
          <w:tcPr>
            <w:tcW w:type="dxa" w:w="1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C1</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0.02</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13.33</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0.1 %</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0.01</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8.00</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0.1 %</w:t>
            </w:r>
          </w:p>
        </w:tc>
      </w:tr>
      <w:tr>
        <w:tc>
          <w:tcPr>
            <w:tcW w:type="dxa" w:w="12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B1</w:t>
            </w:r>
          </w:p>
        </w:tc>
        <w:tc>
          <w:tcPr>
            <w:tcW w:type="dxa" w:w="13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8.92</w:t>
            </w:r>
          </w:p>
        </w:tc>
        <w:tc>
          <w:tcPr>
            <w:tcW w:type="dxa" w:w="13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20.00</w:t>
            </w:r>
          </w:p>
        </w:tc>
        <w:tc>
          <w:tcPr>
            <w:tcW w:type="dxa" w:w="13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44.6 %</w:t>
            </w:r>
          </w:p>
        </w:tc>
        <w:tc>
          <w:tcPr>
            <w:tcW w:type="dxa" w:w="13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4.06</w:t>
            </w:r>
          </w:p>
        </w:tc>
        <w:tc>
          <w:tcPr>
            <w:tcW w:type="dxa" w:w="13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12.00</w:t>
            </w:r>
          </w:p>
        </w:tc>
        <w:tc>
          <w:tcPr>
            <w:tcW w:type="dxa" w:w="13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33.8 %</w:t>
            </w:r>
          </w:p>
        </w:tc>
      </w:tr>
      <w:tr>
        <w:tc>
          <w:tcPr>
            <w:tcW w:type="dxa" w:w="1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C2</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2.93</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13.33</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22.0 %</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1.33</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8.00</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16.7 %</w:t>
            </w:r>
          </w:p>
        </w:tc>
      </w:tr>
    </w:tbl>
    <w:p>
      <w:pPr>
        <w:pageBreakBefore/>
      </w:pPr>
    </w:p>
    <w:p>
      <w:pPr>
        <w:pStyle w:val="Heading1"/>
      </w:pPr>
      <w:r>
        <w:t xml:space="preserve">8. Comprobaciones según EC3</w:t>
      </w:r>
    </w:p>
    <w:p>
      <w:pPr>
        <w:pStyle w:val="Heading2"/>
      </w:pPr>
      <w:r>
        <w:t xml:space="preserve">8.1  Barra C1 — RIGID_JOINED_MEMBER (HEB 200, S275)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500"/>
        <w:gridCol w:w="2026"/>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Comprobación</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Ed</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Rd</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Aprov.</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Veredicto</w:t>
            </w:r>
          </w:p>
        </w:tc>
        <w:tc>
          <w:tcPr>
            <w:tcW w:type="dxa" w:w="20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Artículo</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Flexion Mc,Rd</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48.8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176.7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27.6 %</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CUMPLE</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EC3 6.2.5</w:t>
            </w:r>
          </w:p>
        </w:tc>
      </w:tr>
      <w:tr>
        <w:tc>
          <w:tcPr>
            <w:tcW w:type="dxa" w:w="22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Cortante Vpl,Rd</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12.2</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394.2</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3.1 %</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CUMPLE</w:t>
            </w:r>
          </w:p>
        </w:tc>
        <w:tc>
          <w:tcPr>
            <w:tcW w:type="dxa" w:w="2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EC3 6.2.6</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Axil Nc,Rd</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93.6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2147.2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4.4 %</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CUMPLE</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EC3 6.2.4</w:t>
            </w:r>
          </w:p>
        </w:tc>
      </w:tr>
      <w:tr>
        <w:tc>
          <w:tcPr>
            <w:tcW w:type="dxa" w:w="22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Interaccion N+M</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32.0 %</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CUMPLE</w:t>
            </w:r>
          </w:p>
        </w:tc>
        <w:tc>
          <w:tcPr>
            <w:tcW w:type="dxa" w:w="2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EC3 6.2.1 (lineal, conservadora)</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Pandeo Nb,Rd</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93.6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1860.1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5.0 %</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CUMPLE</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EC3 6.3.1</w:t>
            </w:r>
          </w:p>
        </w:tc>
      </w:tr>
    </w:tbl>
    <w:p>
      <w:pPr>
        <w:spacing w:after="120"/>
        <w:rPr>
          <w:b/>
          <w:bCs/>
          <w:color w:val="1E7A1E"/>
        </w:rPr>
      </w:pPr>
      <w:r>
        <w:rPr>
          <w:b/>
          <w:bCs/>
          <w:color w:val="1E7A1E"/>
        </w:rPr>
        <w:t xml:space="preserve">Aprovechamiento máximo: 32.0 % → CUMPLE.</w:t>
      </w:r>
    </w:p>
    <w:p>
      <w:pPr>
        <w:pStyle w:val="Heading2"/>
      </w:pPr>
      <w:r>
        <w:t xml:space="preserve">8.2  Barra B1 — RIGID_JOINED_MEMBER (IPE 330, S275)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500"/>
        <w:gridCol w:w="2026"/>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Comprobación</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Ed</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Rd</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Aprov.</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Veredicto</w:t>
            </w:r>
          </w:p>
        </w:tc>
        <w:tc>
          <w:tcPr>
            <w:tcW w:type="dxa" w:w="20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Artículo</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Flexion Mc,Rd</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91.6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221.2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41.4 %</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CUMPLE</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EC3 6.2.5</w:t>
            </w:r>
          </w:p>
        </w:tc>
      </w:tr>
      <w:tr>
        <w:tc>
          <w:tcPr>
            <w:tcW w:type="dxa" w:w="22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Cortante Vpl,Rd</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93.6</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489.2</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19.1 %</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CUMPLE</w:t>
            </w:r>
          </w:p>
        </w:tc>
        <w:tc>
          <w:tcPr>
            <w:tcW w:type="dxa" w:w="2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EC3 6.2.6</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Axil Nc,Rd</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12.2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1721.8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0.7 %</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CUMPLE</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EC3 6.2.4</w:t>
            </w:r>
          </w:p>
        </w:tc>
      </w:tr>
      <w:tr>
        <w:tc>
          <w:tcPr>
            <w:tcW w:type="dxa" w:w="22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Interaccion N+M</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42.1 %</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CUMPLE</w:t>
            </w:r>
          </w:p>
        </w:tc>
        <w:tc>
          <w:tcPr>
            <w:tcW w:type="dxa" w:w="2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EC3 6.2.1 (lineal, conservadora)</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Pandeo Nb,Rd</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12.2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1519.3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0.8 %</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CUMPLE</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EC3 6.3.1</w:t>
            </w:r>
          </w:p>
        </w:tc>
      </w:tr>
    </w:tbl>
    <w:p>
      <w:pPr>
        <w:spacing w:after="120"/>
        <w:rPr>
          <w:b/>
          <w:bCs/>
          <w:color w:val="1E7A1E"/>
        </w:rPr>
      </w:pPr>
      <w:r>
        <w:rPr>
          <w:b/>
          <w:bCs/>
          <w:color w:val="1E7A1E"/>
        </w:rPr>
        <w:t xml:space="preserve">Aprovechamiento máximo: 44.6 % → CUMPLE.</w:t>
      </w:r>
    </w:p>
    <w:p>
      <w:pPr>
        <w:pStyle w:val="Heading2"/>
      </w:pPr>
      <w:r>
        <w:t xml:space="preserve">8.3  Barra C2 — RIGID_JOINED_MEMBER (HEB 200, S275)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500"/>
        <w:gridCol w:w="2026"/>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Comprobación</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Ed</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Rd</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Aprov.</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Veredicto</w:t>
            </w:r>
          </w:p>
        </w:tc>
        <w:tc>
          <w:tcPr>
            <w:tcW w:type="dxa" w:w="20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Artículo</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Flexion Mc,Rd</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48.8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176.7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27.6 %</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CUMPLE</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EC3 6.2.5</w:t>
            </w:r>
          </w:p>
        </w:tc>
      </w:tr>
      <w:tr>
        <w:tc>
          <w:tcPr>
            <w:tcW w:type="dxa" w:w="22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Cortante Vpl,Rd</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12.2</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394.2</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3.1 %</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CUMPLE</w:t>
            </w:r>
          </w:p>
        </w:tc>
        <w:tc>
          <w:tcPr>
            <w:tcW w:type="dxa" w:w="2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EC3 6.2.6</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Axil Nc,Rd</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93.6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2147.2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4.4 %</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CUMPLE</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EC3 6.2.4</w:t>
            </w:r>
          </w:p>
        </w:tc>
      </w:tr>
      <w:tr>
        <w:tc>
          <w:tcPr>
            <w:tcW w:type="dxa" w:w="22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Interaccion N+M</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32.0 %</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CUMPLE</w:t>
            </w:r>
          </w:p>
        </w:tc>
        <w:tc>
          <w:tcPr>
            <w:tcW w:type="dxa" w:w="2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EC3 6.2.1 (lineal, conservadora)</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Pandeo Nb,Rd</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93.6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1860.1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5.0 %</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CUMPLE</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EC3 6.3.1</w:t>
            </w:r>
          </w:p>
        </w:tc>
      </w:tr>
    </w:tbl>
    <w:p>
      <w:pPr>
        <w:spacing w:after="120"/>
        <w:rPr>
          <w:b/>
          <w:bCs/>
          <w:color w:val="1E7A1E"/>
        </w:rPr>
      </w:pPr>
      <w:r>
        <w:rPr>
          <w:b/>
          <w:bCs/>
          <w:color w:val="1E7A1E"/>
        </w:rPr>
        <w:t xml:space="preserve">Aprovechamiento máximo: 32.0 % → CUMPLE.</w:t>
      </w:r>
    </w:p>
    <w:p>
      <w:pPr>
        <w:pStyle w:val="Heading1"/>
      </w:pPr>
      <w:r>
        <w:t xml:space="preserve">9. Conclusiones</w:t>
      </w:r>
    </w:p>
    <w:p>
      <w:pPr>
        <w:spacing w:after="120"/>
      </w:pPr>
      <w:r>
        <w:t xml:space="preserve">Todas las barras del pórtico CUMPLEN las comprobaciones de resistencia (EC3) y de servicio (flechas) para las combinaciones consideradas. El motor de cálculo ha reproducido la solución analítica de referencia con error inferior al 1 %, lo que valida la cadena IFC → FEM → Eurocódigos de la Fase 1.</w:t>
      </w:r>
    </w:p>
    <w:p>
      <w:pPr>
        <w:spacing w:after="120"/>
        <w:rPr>
          <w:i/>
          <w:iCs/>
          <w:sz w:val="18"/>
          <w:szCs w:val="18"/>
        </w:rPr>
      </w:pPr>
      <w:r>
        <w:rPr>
          <w:i/>
          <w:iCs/>
          <w:sz w:val="18"/>
          <w:szCs w:val="18"/>
        </w:rPr>
        <w:t xml:space="preserve">Limitaciones de esta fase: análisis lineal de barras; la interacción N+M se evalúa de forma lineal conservadora; el pandeo lateral, la abolladura y las uniones no se comprueban; los elementos tipo lámina/losa (2D) corresponden a la Fase 2. Todo resultado debe ser revisado y firmado por técnico competente.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Estructurando — pág.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2"/>
      </w:pBdr>
      <w:jc w:val="right"/>
    </w:pPr>
    <w:r>
      <w:rPr>
        <w:color w:val="777777"/>
        <w:sz w:val="16"/>
        <w:szCs w:val="16"/>
      </w:rPr>
      <w:t xml:space="preserve">Memoria de cálculo · Pórtico acero · Fase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160"/>
      <w:outlineLvl w:val="1"/>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8a7931f1b6d62fbba3b490130f5a6efc043d24.png"/><Relationship Id="rId10" Type="http://schemas.openxmlformats.org/officeDocument/2006/relationships/image" Target="media/120fec74460718bb87c29e1d325a5c5ee8e1c7bd.png"/><Relationship Id="rId11" Type="http://schemas.openxmlformats.org/officeDocument/2006/relationships/image" Target="media/d0e506bd8b23d8a0bf166b36076e3e68ff1abd37.png"/><Relationship Id="rId12" Type="http://schemas.openxmlformats.org/officeDocument/2006/relationships/image" Target="media/41d953ebaaea8a24704efb693a35cbfe7f415d4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2026-06-21T13:41:06.240Z</dcterms:created>
  <dcterms:modified xsi:type="dcterms:W3CDTF">2026-06-21T13:41:06.240Z</dcterms:modified>
</cp:coreProperties>
</file>

<file path=docProps/custom.xml><?xml version="1.0" encoding="utf-8"?>
<Properties xmlns="http://schemas.openxmlformats.org/officeDocument/2006/custom-properties" xmlns:vt="http://schemas.openxmlformats.org/officeDocument/2006/docPropsVTypes"/>
</file>