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MEMORIA DE INSTALACIONES — PROTECCIÓN CONTRA INCENDIOS</w:t>
      </w:r>
    </w:p>
    <w:p>
      <w:pPr>
        <w:spacing w:after="240"/>
        <w:jc w:val="center"/>
      </w:pPr>
      <w:r>
        <w:rPr>
          <w:color w:val="555555"/>
          <w:sz w:val="20"/>
          <w:szCs w:val="20"/>
        </w:rPr>
        <w:t xml:space="preserve">Caso PCI-01 · Red de BIE a presión · Estructurando (Ola 4, PT 4.3)</w:t>
      </w:r>
    </w:p>
    <w:p>
      <w:pPr>
        <w:pStyle w:val="Heading1"/>
      </w:pPr>
      <w:r>
        <w:t xml:space="preserve">1. Datos del proyecto</w:t>
      </w:r>
    </w:p>
    <w:p>
      <w:pPr>
        <w:pStyle w:val="ListParagraph"/>
        <w:numPr>
          <w:ilvl w:val="0"/>
          <w:numId w:val="2"/>
        </w:numPr>
      </w:pPr>
      <w:r>
        <w:t xml:space="preserve">Proyecto: caso de demostración — red de BIE (protección contra incendios por agua).</w:t>
      </w:r>
    </w:p>
    <w:p>
      <w:pPr>
        <w:pStyle w:val="ListParagraph"/>
        <w:numPr>
          <w:ilvl w:val="0"/>
          <w:numId w:val="2"/>
        </w:numPr>
      </w:pPr>
      <w:r>
        <w:t xml:space="preserve">Tipología y uso: instalación de PCI; sistema IfcDistributionSystem FIREPROTECTION.</w:t>
      </w:r>
    </w:p>
    <w:p>
      <w:pPr>
        <w:pStyle w:val="ListParagraph"/>
        <w:numPr>
          <w:ilvl w:val="0"/>
          <w:numId w:val="2"/>
        </w:numPr>
      </w:pPr>
      <w:r>
        <w:t xml:space="preserve">Anejo Nacional / reglamento aplicado: España (RIPCI RD 513/2017).</w:t>
      </w:r>
    </w:p>
    <w:p>
      <w:pPr>
        <w:pStyle w:val="ListParagraph"/>
        <w:numPr>
          <w:ilvl w:val="0"/>
          <w:numId w:val="2"/>
        </w:numPr>
      </w:pPr>
      <w:r>
        <w:t xml:space="preserve">Abastecimiento: grupo de presión contra incendios (UNE 23500).</w:t>
      </w:r>
    </w:p>
    <w:p>
      <w:pPr>
        <w:pStyle w:val="Heading1"/>
      </w:pPr>
      <w:r>
        <w:t xml:space="preserve">2. Normativa aplicada</w:t>
      </w:r>
    </w:p>
    <w:p>
      <w:pPr>
        <w:pStyle w:val="ListParagraph"/>
        <w:numPr>
          <w:ilvl w:val="0"/>
          <w:numId w:val="2"/>
        </w:numPr>
      </w:pPr>
      <w:r>
        <w:t xml:space="preserve">RIPCI (RD 513/2017), Anexo I — diseño y mantenimiento de BIE.</w:t>
      </w:r>
    </w:p>
    <w:p>
      <w:pPr>
        <w:pStyle w:val="ListParagraph"/>
        <w:numPr>
          <w:ilvl w:val="0"/>
          <w:numId w:val="2"/>
        </w:numPr>
      </w:pPr>
      <w:r>
        <w:t xml:space="preserve">UNE-EN 671-1/-2 — bocas de incendio equipadas (BIE-25 / BIE-45).</w:t>
      </w:r>
    </w:p>
    <w:p>
      <w:pPr>
        <w:pStyle w:val="ListParagraph"/>
        <w:numPr>
          <w:ilvl w:val="0"/>
          <w:numId w:val="2"/>
        </w:numPr>
      </w:pPr>
      <w:r>
        <w:t xml:space="preserve">UNE 23500 — sistemas de abastecimiento de agua contra incendios.</w:t>
      </w:r>
    </w:p>
    <w:p>
      <w:pPr>
        <w:pStyle w:val="ListParagraph"/>
        <w:numPr>
          <w:ilvl w:val="0"/>
          <w:numId w:val="2"/>
        </w:numPr>
      </w:pPr>
      <w:r>
        <w:t xml:space="preserve">DB-SI SI4 (CTE) — dotación de instalaciones de protección contra incendios.</w:t>
      </w:r>
    </w:p>
    <w:p>
      <w:pPr>
        <w:pStyle w:val="Heading1"/>
      </w:pPr>
      <w:r>
        <w:t xml:space="preserve">3. Materiales / componentes adoptados</w:t>
      </w:r>
    </w:p>
    <w:p>
      <w:pPr>
        <w:pStyle w:val="ListParagraph"/>
        <w:numPr>
          <w:ilvl w:val="0"/>
          <w:numId w:val="2"/>
        </w:numPr>
      </w:pPr>
      <w:r>
        <w:t xml:space="preserve">Tubería de acero galvanizado; rugosidad absoluta 0,045 mm [confirmar AN].</w:t>
      </w:r>
    </w:p>
    <w:p>
      <w:pPr>
        <w:pStyle w:val="ListParagraph"/>
        <w:numPr>
          <w:ilvl w:val="0"/>
          <w:numId w:val="2"/>
        </w:numPr>
      </w:pPr>
      <w:r>
        <w:t xml:space="preserve">Montante DN100; ramales a BIE DN65.</w:t>
      </w:r>
    </w:p>
    <w:p>
      <w:pPr>
        <w:pStyle w:val="ListParagraph"/>
        <w:numPr>
          <w:ilvl w:val="0"/>
          <w:numId w:val="2"/>
        </w:numPr>
      </w:pPr>
      <w:r>
        <w:t xml:space="preserve">Grupo de presión (fuente): presión disponible 600 kPa, caudal 25 l/s.</w:t>
      </w:r>
    </w:p>
    <w:p>
      <w:pPr>
        <w:pStyle w:val="Heading1"/>
      </w:pPr>
      <w:r>
        <w:t xml:space="preserve">4. Acciones / bases de cálculo (demanda)</w:t>
      </w:r>
    </w:p>
    <w:p>
      <w:pPr>
        <w:pStyle w:val="ListParagraph"/>
        <w:numPr>
          <w:ilvl w:val="0"/>
          <w:numId w:val="2"/>
        </w:numPr>
      </w:pPr>
      <w:r>
        <w:t xml:space="preserve">Simultaneidad: 2 BIE hidráulicamente más desfavorables a la vez (RIPCI Anexo I) [confirmar AN].</w:t>
      </w:r>
    </w:p>
    <w:p>
      <w:pPr>
        <w:pStyle w:val="ListParagraph"/>
        <w:numPr>
          <w:ilvl w:val="0"/>
          <w:numId w:val="2"/>
        </w:numPr>
      </w:pPr>
      <w:r>
        <w:t xml:space="preserve">Caudal de cálculo por BIE: 3,3 l/s (dato del proyecto/IFC; prevalece sobre el defecto BIE-25 1,6 l/s).</w:t>
      </w:r>
    </w:p>
    <w:p>
      <w:pPr>
        <w:pStyle w:val="ListParagraph"/>
        <w:numPr>
          <w:ilvl w:val="0"/>
          <w:numId w:val="2"/>
        </w:numPr>
      </w:pPr>
      <w:r>
        <w:t xml:space="preserve">Presión dinámica mínima en BIE: 350 kPa (dato del proyecto; defecto normativo 200 kPa). Máxima 500 kPa.</w:t>
      </w:r>
    </w:p>
    <w:p>
      <w:pPr>
        <w:pStyle w:val="ListParagraph"/>
        <w:numPr>
          <w:ilvl w:val="0"/>
          <w:numId w:val="2"/>
        </w:numPr>
      </w:pPr>
      <w:r>
        <w:t xml:space="preserve">Método hidráulico: Darcy-Weisbach (fricción Swamee-Jain); agua 20 °C (ρ=998, ν=1,01·10⁻⁶); accesorios +20 %; v_max 6 m/s [confirmar AN].</w:t>
      </w:r>
    </w:p>
    <w:p>
      <w:pPr>
        <w:pStyle w:val="ListParagraph"/>
        <w:numPr>
          <w:ilvl w:val="0"/>
          <w:numId w:val="2"/>
        </w:numPr>
      </w:pPr>
      <w:r>
        <w:t xml:space="preserve">BIE simultáneas seleccionadas: BIE-1 + BIE-2 (mayor longitud de camino; BIE-2 gobierna).</w:t>
      </w:r>
    </w:p>
    <w:p>
      <w:pPr>
        <w:pStyle w:val="Heading1"/>
      </w:pPr>
      <w:r>
        <w:t xml:space="preserve">5. Comprobaciones por sistema</w:t>
      </w:r>
    </w:p>
    <w:p>
      <w:pPr>
        <w:pStyle w:val="Heading2"/>
      </w:pPr>
      <w:r>
        <w:t xml:space="preserve">5.1 Red de tramos (pérdida de carga)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1300"/>
        <w:gridCol w:w="1500"/>
        <w:gridCol w:w="11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Tramo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Caudal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Velocidad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Δp (Darcy-W., +20% acc.)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T1 (montante)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6,60 l/s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0,840 m/s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0,0207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0,876 kPa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T2 (→BIE-1)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3,30 l/s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0,995 m/s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0,0224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1,022 kPa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T3 (→BIE-2)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3,30 l/s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0,995 m/s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0,0224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2,043 kPa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T4 (→BIE-3, inactiva)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0,00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Velocidad pico 0,995 m/s ≤ 6 m/s → CUMPLE.</w:t>
      </w:r>
    </w:p>
    <w:p>
      <w:pPr>
        <w:pStyle w:val="Heading2"/>
      </w:pPr>
      <w:r>
        <w:t xml:space="preserve">5.2 BIE-2 (terminal gobernante)</w:t>
      </w:r>
    </w:p>
    <w:p>
      <w:pPr>
        <w:spacing w:after="120"/>
      </w:pPr>
      <w:r>
        <w:t xml:space="preserve">Presión disponible 597,1 kPa ≥ mínima 350 kPa (margen 247,1 kPa). RIPCI Anexo I / UNE-EN 671 → CUMPLE. BIE-1: 598,1 kPa (margen 248,1).</w:t>
      </w:r>
    </w:p>
    <w:p>
      <w:pPr>
        <w:pStyle w:val="Heading2"/>
      </w:pPr>
      <w:r>
        <w:t xml:space="preserve">5.3 Fuente (grupo de presión)</w:t>
      </w:r>
    </w:p>
    <w:p>
      <w:pPr>
        <w:spacing w:after="120"/>
      </w:pPr>
      <w:r>
        <w:t xml:space="preserve">Presión disponible 600 kPa ≥ requerida 352,9 kPa (margen 247,1 kPa) → CUMPLE.</w:t>
      </w:r>
    </w:p>
    <w:p>
      <w:pPr>
        <w:pStyle w:val="Heading2"/>
      </w:pPr>
      <w:r>
        <w:t xml:space="preserve">5.4 Balance de caudales (arnés)</w:t>
      </w:r>
    </w:p>
    <w:p>
      <w:pPr>
        <w:spacing w:after="120"/>
      </w:pPr>
      <w:r>
        <w:t xml:space="preserve">Cabecera T1 6,60 l/s = demanda 2×3,30 l/s; residuo en la te 0,0000 % → continuidad cerrada (análogo al equilibrio estructural).</w:t>
      </w:r>
    </w:p>
    <w:p>
      <w:pPr>
        <w:pStyle w:val="Heading1"/>
      </w:pPr>
      <w:r>
        <w:t xml:space="preserve">6. Registro de comprobaciones (fechado)</w:t>
      </w:r>
    </w:p>
    <w:p>
      <w:pPr>
        <w:pStyle w:val="ListParagraph"/>
        <w:numPr>
          <w:ilvl w:val="0"/>
          <w:numId w:val="2"/>
        </w:numPr>
      </w:pPr>
      <w:r>
        <w:t xml:space="preserve">[2026-06-22] Red PCI-01 / run_all_pci (bases_demanda + solver_red Darcy-Weisbach + verificacion_red).</w:t>
      </w:r>
    </w:p>
    <w:p>
      <w:pPr>
        <w:pStyle w:val="ListParagraph"/>
        <w:numPr>
          <w:ilvl w:val="0"/>
          <w:numId w:val="2"/>
        </w:numPr>
      </w:pPr>
      <w:r>
        <w:t xml:space="preserve">Parámetros: 2 BIE simultáneas, 3,3 l/s y 350 kPa por BIE, accesorios +20 %, v_max 6 m/s.</w:t>
      </w:r>
    </w:p>
    <w:p>
      <w:pPr>
        <w:pStyle w:val="ListParagraph"/>
        <w:numPr>
          <w:ilvl w:val="0"/>
          <w:numId w:val="2"/>
        </w:numPr>
      </w:pPr>
      <w:r>
        <w:t xml:space="preserve">Resultado: VEREDICTO CUMPLE; fuente req 352,9 / disp 600 kPa; v_pico 0,995 m/s; balance 0,0000 %.</w:t>
      </w:r>
    </w:p>
    <w:p>
      <w:pPr>
        <w:pStyle w:val="ListParagraph"/>
        <w:numPr>
          <w:ilvl w:val="0"/>
          <w:numId w:val="2"/>
        </w:numPr>
      </w:pPr>
      <w:r>
        <w:t xml:space="preserve">Decisión / próximo paso: red holgada; escribir Psets de resultado al IFC (diferido a mini-PT).</w:t>
      </w:r>
    </w:p>
    <w:p>
      <w:pPr>
        <w:pStyle w:val="Heading1"/>
      </w:pPr>
      <w:r>
        <w:t xml:space="preserve">7. Conclusiones</w:t>
      </w:r>
    </w:p>
    <w:p>
      <w:pPr>
        <w:spacing w:after="120"/>
      </w:pPr>
      <w:r>
        <w:t xml:space="preserve">La red de BIE CUMPLE con amplio margen: la presión de fuente (600 kPa) supera holgadamente la requerida (352,9 kPa) y todas las BIE simultáneas superan su presión dinámica mínima; las velocidades son bajas (≤1 m/s).</w:t>
      </w:r>
    </w:p>
    <w:p>
      <w:pPr>
        <w:spacing w:after="120"/>
      </w:pPr>
      <w:r>
        <w:t xml:space="preserve">Resultado de predimensionado/asistencia; debe ser revisado y firmado por técnico competente (Ingeniero de Caminos). NDP marcados [confirmar AN].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Predimensionado/asistencia — a revisar y firmar por técnico competente.  Pág.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2026-06-22T11:35:29.467Z</dcterms:created>
  <dcterms:modified xsi:type="dcterms:W3CDTF">2026-06-22T11:35:29.467Z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