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4"/>
          <w:szCs w:val="24"/>
        </w:rPr>
        <w:t xml:space="preserve">Caso R1 — Pórtico físico: puente IFC físico (BIM) → modelo analítico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Dirección 2 · Módulo puente_analitico (IFC físico → FEM → Eurocódigos)</w:t>
      </w:r>
    </w:p>
    <w:p>
      <w:pPr>
        <w:spacing w:after="80" w:before="600"/>
        <w:jc w:val="center"/>
      </w:pPr>
      <w:r>
        <w:rPr>
          <w:sz w:val="22"/>
          <w:szCs w:val="22"/>
        </w:rPr>
        <w:t xml:space="preserve">Proyecto: Estructurando</w:t>
      </w:r>
    </w:p>
    <w:p>
      <w:pPr>
        <w:jc w:val="center"/>
      </w:pPr>
      <w:r>
        <w:rPr>
          <w:sz w:val="22"/>
          <w:szCs w:val="22"/>
        </w:rPr>
        <w:t xml:space="preserve">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de PREDIMENSIONADO generado automáticamente. Debe ser revisado y firmado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Esta memoria justifica el cálculo de un pórtico plano de acero de un vano cuyo punto de partida es un MODELO IFC FÍSICO (entregable BIM real): elementos constructivos (IfcColumn, IfcBeam) con geometría de barrido (IfcExtrudedAreaSolid), material y sección (IfcMaterialProfileSetUsage) y estructura espacial (IfcProject→IfcSite→IfcBuilding→IfcBuildingStorey), pero SIN entidades de análisis ni cargas. Constituye el primer caso de la Dirección 2 del motor: el «puente» que deriva el modelo analítico (ejes, nudos y apoyos) a partir de la geometría física y aplica las hipótesis de carga del proyecto, para a continuación reutilizar sin cambios el clasificador/enrutador y el módulo de barras (EC3).</w:t>
      </w:r>
    </w:p>
    <w:p>
      <w:pPr>
        <w:spacing w:after="120"/>
        <w:rPr>
          <w:i/>
          <w:iCs/>
          <w:sz w:val="19"/>
          <w:szCs w:val="19"/>
        </w:rPr>
      </w:pPr>
      <w:r>
        <w:rPr>
          <w:i/>
          <w:iCs/>
          <w:sz w:val="19"/>
          <w:szCs w:val="19"/>
        </w:rPr>
        <w:t xml:space="preserve">Validación: la geometría es idéntica a la del Caso 1 (vano 6,0 m, altura 4,0 m, G=12 / Q=10 kN/m), de modo que el modelo derivado del IFC físico debe REPRODUCIR el resultado ya conocido del Caso 1.</w:t>
      </w:r>
    </w:p>
    <w:p>
      <w:pPr>
        <w:pStyle w:val="Heading1"/>
      </w:pPr>
      <w:r>
        <w:t xml:space="preserve">2. Normativa de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26"/>
        <w:gridCol w:w="30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esta memoria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1990 (EC0)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Bases de cálculo estructural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Combinaciones ELU/ELS, coef. parciales y ψ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1991 (EC1)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Acciones en las estructuras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Acciones permanentes G y variables Q (hipótesis)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1993-1-1 (EC3)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de estructuras de acero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Resistencia de secciones y pandeo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 16739 (IFC4)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 Foundation Classes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físico de origen (BIM)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España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Anejos Nacionales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Coeficientes y parámetros NDP [confirmar AN]</w:t>
            </w:r>
          </w:p>
        </w:tc>
      </w:tr>
    </w:tbl>
    <w:p>
      <w:pPr>
        <w:pStyle w:val="Heading1"/>
      </w:pPr>
      <w:r>
        <w:t xml:space="preserve">3. Puente físico → analítico (Dirección 2)</w:t>
      </w:r>
    </w:p>
    <w:p>
      <w:pPr>
        <w:spacing w:after="120"/>
      </w:pPr>
      <w:r>
        <w:t xml:space="preserve">El IFC físico no contiene modelo de análisis. El módulo puente_analitico construye el modelo neutro estándar del motor en tres pasos: extracción geométrica, grafo de nudos e hipótesis de carga/apoyo.</w:t>
      </w:r>
    </w:p>
    <w:p>
      <w:pPr>
        <w:pStyle w:val="Heading2"/>
      </w:pPr>
      <w:r>
        <w:t xml:space="preserve">3.1 Extracción geométrica (eje, perfil y material)</w:t>
      </w:r>
    </w:p>
    <w:p>
      <w:pPr>
        <w:spacing w:after="120"/>
      </w:pPr>
      <w:r>
        <w:t xml:space="preserve">Por cada elemento lineal (IfcColumn/IfcBeam) se obtiene su EJE como directriz del barrido: el origen es la traslación del ObjectPlacement compuesto (resuelto a coordenadas de mundo) y la dirección es el eje local Z del placement, con longitud igual al Depth del IfcExtrudedAreaSolid. El PERFIL se lee de IfcMaterialProfileSetUsage → IfcMaterialProfileSet → IfcMaterialProfile → IfcIShapeProfileDef (con prioridad a la base de datos de perfiles de catálogo; la geometría del SweptArea queda como respaldo). El MATERIAL y sus propiedades mecánicas se toman del profile set y de IfcMaterialProperties.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26"/>
        <w:gridCol w:w="800"/>
        <w:gridCol w:w="14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 físico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 derivado (mundo) [m]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 [m]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Pilar_1 (IfcColumn)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(0.0,0.0,0.0) → (0.0,0.0,4.0)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Pilar_2 (IfcColumn)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(6.0,0.0,0.0) → (6.0,0.0,4.0)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Dintel (IfcBeam)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(0.0,0.0,4.0) → (6.0,0.0,4.0)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IPE 330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</w:tr>
    </w:tbl>
    <w:p>
      <w:pPr>
        <w:pStyle w:val="Heading2"/>
      </w:pPr>
      <w:r>
        <w:t xml:space="preserve">3.2 Conectividad: grafo de nudos</w:t>
      </w:r>
    </w:p>
    <w:p>
      <w:pPr>
        <w:spacing w:after="120"/>
      </w:pPr>
      <w:r>
        <w:t xml:space="preserve">Los nudos analíticos se generan por intersección de ejes con tolerancia (1 mm): se fusionan los extremos coincidentes y se trocea una barra cuando el extremo de otra cae en su interior. En el caso R1 los ejes son limpios y se cortan en sus extremos, dando 4 nudos y 3 barras. (El tratamiento de offsets/excentricidades físico↔analítico se endurece en el caso R5.)</w:t>
      </w:r>
    </w:p>
    <w:p>
      <w:pPr>
        <w:pStyle w:val="Heading2"/>
      </w:pPr>
      <w:r>
        <w:t xml:space="preserve">3.3 Hipótesis de apoyo y de carga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En un IFC físico no existen apoyos ni cargas de análisis: son hipótesis del calculista. En el modelo de prueba se aportan como Property Sets y el puente las traslada al modelo neutro: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8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Nudo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Cota z [m]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apoyo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 (hipótesis)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biarticulado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Pset_Estructurando_ApoyoBase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biarticulado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Pset_Estructurando_ApoyoBase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300"/>
        <w:gridCol w:w="1300"/>
        <w:gridCol w:w="30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 (elemento)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 [kN/m]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 (hipótesis)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 (Dintel)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-Z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Pset_Estructurando_CargaHipotesis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 (Dintel)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-Z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Pset_Estructurando_CargaHipotesis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Apoyo biarticulado (bases): traslaciones coaccionadas y giro en el plano libre. Las cargas se aplican como hipótesis de proyecto y deben confirmarse con el documento de cargas del encargo.</w:t>
      </w:r>
    </w:p>
    <w:p>
      <w:pPr>
        <w:pStyle w:val="Heading1"/>
      </w:pPr>
      <w:r>
        <w:t xml:space="preserve">4. Clasificación y enrutado</w:t>
      </w:r>
    </w:p>
    <w:p>
      <w:pPr>
        <w:spacing w:after="120"/>
      </w:pPr>
      <w:r>
        <w:t xml:space="preserve">El modelo neutro derivado se clasifica con los mismos criterios del enrutador multi-elemento (material + sección + orientación): todas las barras son de acero con sección en I, por lo que el sistema es un pórtico plano de acero y se enruta al módulo de barras (EC3), exactamente como el Caso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500"/>
        <w:gridCol w:w="1700"/>
        <w:gridCol w:w="1500"/>
        <w:gridCol w:w="18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Orientación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Enrutado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Acero I → barras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Acero I → barras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IPE 330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horizontal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viga/dintel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Acero I → barras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5. Modelo analítico derivado</w:t>
      </w:r>
    </w:p>
    <w:p>
      <w:pPr>
        <w:pStyle w:val="Heading2"/>
      </w:pPr>
      <w:r>
        <w:t xml:space="preserve">5.1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 [GPa]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fy [MPa]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 [kg/m³]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7850</w:t>
            </w:r>
          </w:p>
        </w:tc>
      </w:tr>
    </w:tbl>
    <w:p>
      <w:pPr>
        <w:pStyle w:val="Heading2"/>
      </w:pPr>
      <w:r>
        <w:t xml:space="preserve">5.2 Secciones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400"/>
        <w:gridCol w:w="1400"/>
        <w:gridCol w:w="1600"/>
        <w:gridCol w:w="1300"/>
        <w:gridCol w:w="1300"/>
      </w:tblGrid>
      <w:tr>
        <w:trPr>
          <w:tblHeader/>
        </w:trPr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[cm²]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Iy [cm⁴]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Wpl,y [cm³]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Avz [cm²]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78.08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5696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24.83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1</w:t>
            </w:r>
          </w:p>
        </w:tc>
      </w:tr>
      <w:tr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IPE 330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62.61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11770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30.81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1</w:t>
            </w:r>
          </w:p>
        </w:tc>
      </w:tr>
    </w:tbl>
    <w:p>
      <w:pPr>
        <w:pStyle w:val="Heading2"/>
      </w:pPr>
      <w:r>
        <w:t xml:space="preserve">5.3 Barras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626"/>
        <w:gridCol w:w="1700"/>
        <w:gridCol w:w="17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Nodos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 [m]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N1 → N2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N3 → N4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HEB 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viga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N2 → N4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IPE 330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6.00</w:t>
            </w:r>
          </w:p>
        </w:tc>
      </w:tr>
    </w:tbl>
    <w:p>
      <w:pPr>
        <w:pStyle w:val="Heading1"/>
      </w:pPr>
      <w:r>
        <w:t xml:space="preserve">6. Acciones y combinaciones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 [kN/m]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GZ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GZ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31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 + 1.50*Q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ELU_G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ELS_car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6.14b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ELS_fre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+ 0.5*Q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6.15b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+ 0.3*Q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6.16b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criterio despacho</w:t>
            </w:r>
          </w:p>
        </w:tc>
      </w:tr>
    </w:tbl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Coeficientes parciales (AN España): γG = 1,35 / 1,00; γQ = 1,50. ψ (Cat. B): ψ0=0,7; ψ1=0,5; ψ2=0,3. [confirmar AN]</w:t>
      </w:r>
    </w:p>
    <w:p>
      <w:pPr>
        <w:pStyle w:val="Heading1"/>
      </w:pPr>
      <w:r>
        <w:t xml:space="preserve">7. Procedimiento, validación y equilibrio</w:t>
      </w:r>
    </w:p>
    <w:p>
      <w:pPr>
        <w:spacing w:after="120"/>
      </w:pPr>
      <w:r>
        <w:t xml:space="preserve">Cadena: (1) puente IFC físico → modelo neutro; (2) clasificación/enrutado; (3) FEM de barra (PyNite) con el plano coaccionado fuera de él; (4) combinaciones EC0; (5) verificación EC3.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Autodiagnóstico del solver (viga biapoyada vs. solución cerrada):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Magnitud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Calculado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Teórico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M = qL²/8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90.0 kN·m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90.0 kN·m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0.000 %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 = qL/2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60.0 kN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60.0 kN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0.000 %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5qL⁴/384EI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13.65 mm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13.65 mm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0.012 %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Autodiagnóstico: VÁLIDO (error &lt; 1 %).</w:t>
      </w:r>
    </w:p>
    <w:p>
      <w:pPr>
        <w:pStyle w:val="Heading2"/>
      </w:pPr>
      <w:r>
        <w:t xml:space="preserve">7.1 Reacciones y equilibrio (ELU)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Apoyo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RX [kN]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RY (vertical) [kN]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93.60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-12.19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93.60</w:t>
            </w:r>
          </w:p>
        </w:tc>
      </w:tr>
    </w:tbl>
    <w:p>
      <w:pPr>
        <w:spacing w:after="120"/>
        <w:rPr>
          <w:b/>
          <w:bCs/>
        </w:rPr>
      </w:pPr>
      <w:r>
        <w:rPr>
          <w:b/>
          <w:bCs/>
        </w:rPr>
        <w:t xml:space="preserve">Carga vertical aplicada ELU = (1,35·12 + 1,50·10)·6,0 = 187.2 kN; Σ reacciones verticales = 187.2 kN → equilibrio con error ≈ 0 %. Reacción por apoyo = 93.60 kN (coincide con el Caso 1: 93,60 kN/apoyo).</w:t>
      </w:r>
    </w:p>
    <w:p>
      <w:pPr>
        <w:pStyle w:val="Heading2"/>
      </w:pPr>
      <w:r>
        <w:t xml:space="preserve">7.2 Validación cruzada (anaStruct)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2700"/>
        <w:gridCol w:w="2300"/>
        <w:gridCol w:w="2300"/>
        <w:gridCol w:w="1600"/>
      </w:tblGrid>
      <w:tr>
        <w:trPr>
          <w:tblHeader/>
        </w:trPr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 [kN·m] PyNite/anaStruct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 [kN] PyNite/anaStruct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 [kN] PyNite/anaStruct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48.8 / 48.8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 / 12.2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 / 93.6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0.00 %</w:t>
            </w:r>
          </w:p>
        </w:tc>
      </w:tr>
      <w:tr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48.8 / 48.8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 / 12.2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 / 93.6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0.00 %</w:t>
            </w:r>
          </w:p>
        </w:tc>
      </w:tr>
      <w:tr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91.6 / 91.6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 / 93.6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 / 12.2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0.06 %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Validación cruzada: CONFORME (&lt; 1 %).</w:t>
      </w:r>
    </w:p>
    <w:p>
      <w:pPr>
        <w:pageBreakBefore/>
      </w:pPr>
    </w:p>
    <w:p>
      <w:pPr>
        <w:pStyle w:val="Heading1"/>
      </w:pPr>
      <w:r>
        <w:t xml:space="preserve">8. Esfuerzos (envolvente ELU 1,35G + 1,50Q)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 [kN]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 [kN]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 [kN·m]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22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91.6</w:t>
            </w:r>
          </w:p>
        </w:tc>
      </w:tr>
    </w:tbl>
    <w:p>
      <w:pPr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diag_momentos.png" descr="Figura 1. Ley de momentos flectores (ELU)." title="Figura 1. Ley de momentos flectores (ELU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Ley de momentos flectores (ELU).</w:t>
      </w:r>
    </w:p>
    <w:p>
      <w:pPr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diag_cortantes.png" descr="Figura 2. Ley de cortantes (ELU)." title="Figura 2. Ley de cortantes (ELU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Ley de cortantes (ELU).</w:t>
      </w:r>
    </w:p>
    <w:p>
      <w:pPr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diag_axiles.png" descr="Figura 3. Ley de axiles (ELU)." title="Figura 3. Ley de axiles (ELU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3. Ley de axiles (ELU).</w:t>
      </w:r>
    </w:p>
    <w:p>
      <w:pPr>
        <w:pageBreakBefore/>
      </w:pPr>
    </w:p>
    <w:p>
      <w:pPr>
        <w:pStyle w:val="Heading1"/>
      </w:pPr>
      <w:r>
        <w:t xml:space="preserve">9. Estado límite de servicio (flechas)</w:t>
      </w:r>
    </w:p>
    <w:p>
      <w:pPr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deformada.png" descr="Figura 4. Deformada bajo combinación característica (amplificada)." title="Figura 4. Deformada bajo combinación característica (amplific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4. Deformada bajo combinación característica (amplificada).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Barra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f_tot [mm]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 [mm]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f_act [mm]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 [mm]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</w:tr>
      <w:tr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0.1 %</w:t>
            </w:r>
          </w:p>
        </w:tc>
      </w:tr>
      <w:tr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22.0 %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16.7 %</w:t>
            </w:r>
          </w:p>
        </w:tc>
      </w:tr>
      <w:tr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8.92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44.6 %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33.8 %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10. Comprobaciones según EC3</w:t>
      </w:r>
    </w:p>
    <w:p>
      <w:pPr>
        <w:pStyle w:val="Heading2"/>
      </w:pPr>
      <w:r>
        <w:t xml:space="preserve">10.1  Barra C1 — pilar (HEB 200, S275)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5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Artículo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Flexion Mc,Rd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176.7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27.6 %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Vpl,Rd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394.2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3.1 %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Nc,Rd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2147.2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Interaccion N+M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6.2.1 (lineal, conservadora)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Pandeo Nb,Rd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1860.1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6.3.1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Aprovechamiento máximo: 32.0 % → CUMPLE.</w:t>
      </w:r>
    </w:p>
    <w:p>
      <w:pPr>
        <w:pStyle w:val="Heading2"/>
      </w:pPr>
      <w:r>
        <w:t xml:space="preserve">10.2  Barra C2 — pilar (HEB 200, S275)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5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Artículo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Flexion Mc,Rd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176.7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27.6 %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Vpl,Rd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394.2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3.1 %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Nc,Rd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2147.2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Interaccion N+M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6.2.1 (lineal, conservadora)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Pandeo Nb,Rd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1860.1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6.3.1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Aprovechamiento máximo: 32.0 % → CUMPLE.</w:t>
      </w:r>
    </w:p>
    <w:p>
      <w:pPr>
        <w:pStyle w:val="Heading2"/>
      </w:pPr>
      <w:r>
        <w:t xml:space="preserve">10.3  Barra B1 — viga (IPE 330, S275)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5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Artículo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Flexion Mc,Rd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91.6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221.2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41.4 %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Vpl,Rd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93.6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489.2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19.1 %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Nc,Rd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1721.8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Interaccion N+M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42.1 %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6.2.1 (lineal, conservadora)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Pandeo Nb,Rd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1519.3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EC3 6.3.1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Aprovechamiento máximo: 44.6 % → CUMPLE.</w:t>
      </w:r>
    </w:p>
    <w:p>
      <w:pPr>
        <w:pStyle w:val="Heading1"/>
      </w:pPr>
      <w:r>
        <w:t xml:space="preserve">11. Conclusiones</w:t>
      </w:r>
    </w:p>
    <w:p>
      <w:pPr>
        <w:spacing w:after="120"/>
      </w:pPr>
      <w:r>
        <w:t xml:space="preserve">El puente físico→analítico ha derivado correctamente, a partir del IFC FÍSICO, un modelo de 3 barras y 4 nudos con perfiles HEB 200 / IPE 330 y material S275, y lo ha enrutado al módulo de barras. El cálculo CUMPLE todas las comprobaciones EC3 y reproduce el Caso 1: 93,60 kN/apoyo, pilares HEB 200 al 32,0 % y dintel IPE 330 al 44,6 %, con validación cruzada conforme. Queda validada la apertura de la Dirección 2 (IFC físico real → cálculo).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 de barras; interacción N+M lineal conservadora; no se comprueban pandeo lateral, abolladura ni uniones. Los apoyos y las cargas son HIPÓTESIS de proyecto (no están en el IFC físico) y deben confirmarse. Resultado de PREDIMENSIONADO, a revisar y firmar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de cálculo · Caso R1 · Puente IFC físico→analítico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ad82050d53f5de9a3a228be984fdff40f80390.png"/><Relationship Id="rId10" Type="http://schemas.openxmlformats.org/officeDocument/2006/relationships/image" Target="media/0202e148c39bb62732c8d82947bd8d8c1234cf5d.png"/><Relationship Id="rId11" Type="http://schemas.openxmlformats.org/officeDocument/2006/relationships/image" Target="media/d0e506bd8b23d8a0bf166b36076e3e68ff1abd37.png"/><Relationship Id="rId12" Type="http://schemas.openxmlformats.org/officeDocument/2006/relationships/image" Target="media/2bd9768d23c89334017aac41c99858a8c921b7d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2026-06-21T20:06:29.545Z</dcterms:created>
  <dcterms:modified xsi:type="dcterms:W3CDTF">2026-06-21T20:06:29.545Z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