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7c45d32b5df9d9fff66e89828149f94721b8a4"/>
      <w:r>
        <w:t xml:space="preserve">Memoria de instalaciones — Caso REBT-01: instalación eléctrica de vivienda</w:t>
      </w:r>
      <w:bookmarkEnd w:id="20"/>
    </w:p>
    <w:p>
      <w:pPr>
        <w:pStyle w:val="BlockText"/>
      </w:pPr>
      <w:r>
        <w:t xml:space="preserve">Predimensionado/asistencia.</w:t>
      </w:r>
      <w:r>
        <w:t xml:space="preserve"> </w:t>
      </w:r>
      <w:r>
        <w:rPr>
          <w:b/>
        </w:rPr>
        <w:t xml:space="preserve">Debe ser revisado y firmado por técnico competente</w:t>
      </w:r>
      <w:r>
        <w:rPr>
          <w:b/>
        </w:rPr>
        <w:t xml:space="preserve"> </w:t>
      </w:r>
      <w:r>
        <w:rPr>
          <w:b/>
        </w:rPr>
        <w:t xml:space="preserve">(Ingeniero de Caminos).</w:t>
      </w:r>
      <w:r>
        <w:t xml:space="preserve"> </w:t>
      </w:r>
      <w:r>
        <w:t xml:space="preserve">Los valores no determinados (NDP) se marcan</w:t>
      </w:r>
      <w:r>
        <w:t xml:space="preserve"> </w:t>
      </w:r>
      <w:r>
        <w:rPr>
          <w:rStyle w:val="VerbatimChar"/>
        </w:rPr>
        <w:t xml:space="preserve">[confirmar AN]</w:t>
      </w:r>
      <w:r>
        <w:t xml:space="preserve">.</w:t>
      </w:r>
      <w:r>
        <w:t xml:space="preserve"> </w:t>
      </w:r>
      <w:r>
        <w:t xml:space="preserve">Disciplina</w:t>
      </w:r>
      <w:r>
        <w:t xml:space="preserve"> </w:t>
      </w:r>
      <w:r>
        <w:rPr>
          <w:rStyle w:val="VerbatimChar"/>
        </w:rPr>
        <w:t xml:space="preserve">instalaciones</w:t>
      </w:r>
      <w:r>
        <w:t xml:space="preserve">, vertical eléctrico (REBT), PT 4.5 (Ola 4).</w:t>
      </w:r>
    </w:p>
    <w:p>
      <w:pPr>
        <w:pStyle w:val="Heading2"/>
      </w:pPr>
      <w:bookmarkStart w:id="21" w:name="objeto-y-alcance"/>
      <w:r>
        <w:t xml:space="preserve">1. Objeto y alcance</w:t>
      </w:r>
      <w:bookmarkEnd w:id="21"/>
    </w:p>
    <w:p>
      <w:pPr>
        <w:pStyle w:val="FirstParagraph"/>
      </w:pPr>
      <w:r>
        <w:t xml:space="preserve">Dimensionado y comprobación de la instalación eléctrica interior de una</w:t>
      </w:r>
      <w:r>
        <w:t xml:space="preserve"> </w:t>
      </w:r>
      <w:r>
        <w:rPr>
          <w:b/>
        </w:rPr>
        <w:t xml:space="preserve">vivienda</w:t>
      </w:r>
      <w:r>
        <w:t xml:space="preserve"> </w:t>
      </w:r>
      <w:r>
        <w:t xml:space="preserve">con</w:t>
      </w:r>
      <w:r>
        <w:t xml:space="preserve"> </w:t>
      </w:r>
      <w:r>
        <w:rPr>
          <w:b/>
        </w:rPr>
        <w:t xml:space="preserve">grado de electrificación elevada</w:t>
      </w:r>
      <w:r>
        <w:t xml:space="preserve"> </w:t>
      </w:r>
      <w:r>
        <w:t xml:space="preserve">(REBT, ITC-BT-25), de extremo a extremo:</w:t>
      </w:r>
      <w:r>
        <w:t xml:space="preserve"> </w:t>
      </w:r>
      <w:r>
        <w:t xml:space="preserve">modelo IFC MEP (sistema</w:t>
      </w:r>
      <w:r>
        <w:t xml:space="preserve"> </w:t>
      </w:r>
      <w:r>
        <w:rPr>
          <w:rStyle w:val="VerbatimChar"/>
        </w:rPr>
        <w:t xml:space="preserve">ELECTRICAL</w:t>
      </w:r>
      <w:r>
        <w:t xml:space="preserve">) → modelo neutro de red → bases de demanda →</w:t>
      </w:r>
      <w:r>
        <w:t xml:space="preserve"> </w:t>
      </w:r>
      <w:r>
        <w:t xml:space="preserve">solver de red eléctrica → verificación → escritura de resultados al IFC. Se comprueban</w:t>
      </w:r>
      <w:r>
        <w:t xml:space="preserve"> </w:t>
      </w:r>
      <w:r>
        <w:t xml:space="preserve">las</w:t>
      </w:r>
      <w:r>
        <w:t xml:space="preserve"> </w:t>
      </w:r>
      <w:r>
        <w:rPr>
          <w:b/>
        </w:rPr>
        <w:t xml:space="preserve">caídas de tensión</w:t>
      </w:r>
      <w:r>
        <w:t xml:space="preserve"> </w:t>
      </w:r>
      <w:r>
        <w:t xml:space="preserve">y las</w:t>
      </w:r>
      <w:r>
        <w:t xml:space="preserve"> </w:t>
      </w:r>
      <w:r>
        <w:rPr>
          <w:b/>
        </w:rPr>
        <w:t xml:space="preserve">intensidades admisibles</w:t>
      </w:r>
      <w:r>
        <w:t xml:space="preserve"> </w:t>
      </w:r>
      <w:r>
        <w:t xml:space="preserve">de cada circuito.</w:t>
      </w:r>
    </w:p>
    <w:p>
      <w:pPr>
        <w:pStyle w:val="Heading2"/>
      </w:pPr>
      <w:bookmarkStart w:id="22" w:name="normativa-y-referencias"/>
      <w:r>
        <w:t xml:space="preserve">2. Normativa y referencias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REBT</w:t>
      </w:r>
      <w:r>
        <w:t xml:space="preserve"> </w:t>
      </w:r>
      <w:r>
        <w:t xml:space="preserve">(RD 842/2002) y sus Instrucciones Técnicas Complementarias.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ITC-BT-10</w:t>
      </w:r>
      <w:r>
        <w:t xml:space="preserve"> </w:t>
      </w:r>
      <w:r>
        <w:t xml:space="preserve">— previsión de cargas; grado de electrificación.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ITC-BT-25</w:t>
      </w:r>
      <w:r>
        <w:t xml:space="preserve"> </w:t>
      </w:r>
      <w:r>
        <w:t xml:space="preserve">— número de circuitos y características (vivienda): C1–C12.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ITC-BT-19</w:t>
      </w:r>
      <w:r>
        <w:t xml:space="preserve"> </w:t>
      </w:r>
      <w:r>
        <w:t xml:space="preserve">— caídas de tensión admisibles e intensidades admisibles de los</w:t>
      </w:r>
      <w:r>
        <w:t xml:space="preserve"> </w:t>
      </w:r>
      <w:r>
        <w:t xml:space="preserve">conductores.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ITC-BT-44/-47</w:t>
      </w:r>
      <w:r>
        <w:t xml:space="preserve"> </w:t>
      </w:r>
      <w:r>
        <w:t xml:space="preserve">— receptores (alumbrado y motores), cuando aplica.</w:t>
      </w:r>
    </w:p>
    <w:p>
      <w:pPr>
        <w:pStyle w:val="FirstParagraph"/>
      </w:pPr>
      <w:r>
        <w:t xml:space="preserve">Todos los valores normativos por defecto se consideran</w:t>
      </w:r>
      <w:r>
        <w:t xml:space="preserve"> </w:t>
      </w:r>
      <w:r>
        <w:rPr>
          <w:b/>
        </w:rPr>
        <w:t xml:space="preserve">NDP</w:t>
      </w:r>
      <w:r>
        <w:rPr>
          <w:b/>
        </w:rPr>
        <w:t xml:space="preserve"> </w:t>
      </w:r>
      <w:r>
        <w:rPr>
          <w:rStyle w:val="VerbatimChar"/>
          <w:b/>
        </w:rPr>
        <w:t xml:space="preserve">[confirmar AN]</w:t>
      </w:r>
      <w:r>
        <w:t xml:space="preserve">; el</w:t>
      </w:r>
      <w:r>
        <w:t xml:space="preserve"> </w:t>
      </w:r>
      <w:r>
        <w:t xml:space="preserve">dato del proyecto (IFC) prevalece sobre el valor por defecto.</w:t>
      </w:r>
    </w:p>
    <w:p>
      <w:pPr>
        <w:pStyle w:val="Heading2"/>
      </w:pPr>
      <w:bookmarkStart w:id="23" w:name="descripción-de-la-red"/>
      <w:r>
        <w:t xml:space="preserve">3. Descripción de la red</w:t>
      </w:r>
      <w:bookmarkEnd w:id="23"/>
    </w:p>
    <w:p>
      <w:pPr>
        <w:pStyle w:val="FirstParagraph"/>
      </w:pPr>
      <w:r>
        <w:t xml:space="preserve">Red</w:t>
      </w:r>
      <w:r>
        <w:t xml:space="preserve"> </w:t>
      </w:r>
      <w:r>
        <w:rPr>
          <w:b/>
        </w:rPr>
        <w:t xml:space="preserve">radial (en árbol)</w:t>
      </w:r>
      <w:r>
        <w:t xml:space="preserve"> </w:t>
      </w:r>
      <w:r>
        <w:t xml:space="preserve">alimentada desde el</w:t>
      </w:r>
      <w:r>
        <w:t xml:space="preserve"> </w:t>
      </w:r>
      <w:r>
        <w:rPr>
          <w:b/>
        </w:rPr>
        <w:t xml:space="preserve">cuadro general de la vivienda</w:t>
      </w:r>
      <w:r>
        <w:t xml:space="preserve"> </w:t>
      </w:r>
      <w:r>
        <w:t xml:space="preserve">(fuente / ancla). Topología leída del IFC por el parser MEP de</w:t>
      </w:r>
      <w:r>
        <w:t xml:space="preserve"> </w:t>
      </w:r>
      <w:r>
        <w:rPr>
          <w:rStyle w:val="VerbatimChar"/>
        </w:rPr>
        <w:t xml:space="preserve">iso19650-openbim</w:t>
      </w:r>
      <w:r>
        <w:t xml:space="preserve"> </w:t>
      </w:r>
      <w:r>
        <w:t xml:space="preserve">(agnóstico al tipo de sistema):</w:t>
      </w:r>
      <w:r>
        <w:t xml:space="preserve"> </w:t>
      </w:r>
      <w:r>
        <w:rPr>
          <w:b/>
        </w:rPr>
        <w:t xml:space="preserve">9 nodos, 8 tramos, 8 terminales, 1 fuente</w:t>
      </w:r>
      <w:r>
        <w:t xml:space="preserve">. Cada</w:t>
      </w:r>
      <w:r>
        <w:t xml:space="preserve"> </w:t>
      </w:r>
      <w:r>
        <w:t xml:space="preserve">terminal representa un</w:t>
      </w:r>
      <w:r>
        <w:t xml:space="preserve"> </w:t>
      </w:r>
      <w:r>
        <w:rPr>
          <w:b/>
        </w:rPr>
        <w:t xml:space="preserve">circuito</w:t>
      </w:r>
      <w:r>
        <w:t xml:space="preserve"> </w:t>
      </w:r>
      <w:r>
        <w:t xml:space="preserve">(C1, C2, C3, C4, C5, C8, C9, C12).</w:t>
      </w:r>
    </w:p>
    <w:p>
      <w:pPr>
        <w:pStyle w:val="BodyText"/>
      </w:pPr>
      <w:r>
        <w:t xml:space="preserve">Conductores de</w:t>
      </w:r>
      <w:r>
        <w:t xml:space="preserve"> </w:t>
      </w:r>
      <w:r>
        <w:rPr>
          <w:b/>
        </w:rPr>
        <w:t xml:space="preserve">cobre</w:t>
      </w:r>
      <w:r>
        <w:t xml:space="preserve">, aislamiento</w:t>
      </w:r>
      <w:r>
        <w:t xml:space="preserve"> </w:t>
      </w:r>
      <w:r>
        <w:rPr>
          <w:b/>
        </w:rPr>
        <w:t xml:space="preserve">PVC</w:t>
      </w:r>
      <w:r>
        <w:t xml:space="preserve"> </w:t>
      </w:r>
      <w:r>
        <w:rPr>
          <w:rStyle w:val="VerbatimChar"/>
        </w:rPr>
        <w:t xml:space="preserve">[confirmar AN]</w:t>
      </w:r>
      <w:r>
        <w:t xml:space="preserve">. Conductividad</w:t>
      </w:r>
      <w:r>
        <w:t xml:space="preserve"> </w:t>
      </w:r>
      <w:r>
        <w:t xml:space="preserve">γ = 56 m/Ω·mm² (Cu, 20 °C)</w:t>
      </w:r>
      <w:r>
        <w:t xml:space="preserve"> </w:t>
      </w:r>
      <w:r>
        <w:rPr>
          <w:rStyle w:val="VerbatimChar"/>
        </w:rPr>
        <w:t xml:space="preserve">[confirmar AN]</w:t>
      </w:r>
      <w:r>
        <w:t xml:space="preserve">. Tensión monofásica</w:t>
      </w:r>
      <w:r>
        <w:t xml:space="preserve"> </w:t>
      </w:r>
      <w:r>
        <w:rPr>
          <w:b/>
        </w:rPr>
        <w:t xml:space="preserve">230 V</w:t>
      </w:r>
      <w:r>
        <w:t xml:space="preserve">.</w:t>
      </w:r>
    </w:p>
    <w:p>
      <w:pPr>
        <w:pStyle w:val="Heading2"/>
      </w:pPr>
      <w:bookmarkStart w:id="24" w:name="bases-de-demanda-slot-c4"/>
      <w:r>
        <w:t xml:space="preserve">4. Bases de demanda (slot C4)</w:t>
      </w:r>
      <w:bookmarkEnd w:id="24"/>
    </w:p>
    <w:p>
      <w:pPr>
        <w:pStyle w:val="FirstParagraph"/>
      </w:pPr>
      <w:r>
        <w:t xml:space="preserve">Modo</w:t>
      </w:r>
      <w:r>
        <w:t xml:space="preserve"> </w:t>
      </w:r>
      <w:r>
        <w:rPr>
          <w:b/>
        </w:rPr>
        <w:t xml:space="preserve">vivienda</w:t>
      </w:r>
      <w:r>
        <w:t xml:space="preserve"> </w:t>
      </w:r>
      <w:r>
        <w:t xml:space="preserve">(ITC-BT-25). Potencia de cálculo por circuito = P_prevista · Fu · Fs</w:t>
      </w:r>
      <w:r>
        <w:t xml:space="preserve"> </w:t>
      </w:r>
      <w:r>
        <w:t xml:space="preserve">(factores de utilización y simultaneidad de la tabla de la ITC-BT-25</w:t>
      </w:r>
      <w:r>
        <w:t xml:space="preserve"> </w:t>
      </w:r>
      <w:r>
        <w:rPr>
          <w:rStyle w:val="VerbatimChar"/>
        </w:rPr>
        <w:t xml:space="preserve">[confirmar AN]</w:t>
      </w:r>
      <w:r>
        <w:t xml:space="preserve">).</w:t>
      </w:r>
      <w:r>
        <w:t xml:space="preserve"> </w:t>
      </w:r>
      <w:r>
        <w:t xml:space="preserve">Grado de electrificación</w:t>
      </w:r>
      <w:r>
        <w:t xml:space="preserve"> </w:t>
      </w:r>
      <w:r>
        <w:rPr>
          <w:b/>
        </w:rPr>
        <w:t xml:space="preserve">elevada</w:t>
      </w:r>
      <w:r>
        <w:t xml:space="preserve"> </w:t>
      </w:r>
      <w:r>
        <w:t xml:space="preserve">(potencia mínima prevista 9 200 W, ITC-BT-10).</w:t>
      </w:r>
    </w:p>
    <w:p>
      <w:pPr>
        <w:pStyle w:val="BodyText"/>
      </w:pPr>
      <w:r>
        <w:rPr>
          <w:b/>
        </w:rPr>
        <w:t xml:space="preserve">Potencia prevista total: 18 705,8 W.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Circuito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 cálculo (W)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 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 mín. norm. (mm²)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 — Iluminación</w:t>
            </w:r>
          </w:p>
        </w:tc>
        <w:tc>
          <w:p>
            <w:pPr>
              <w:pStyle w:val="Compact"/>
              <w:jc w:val="left"/>
            </w:pPr>
            <w:r>
              <w:t xml:space="preserve">alumbrado</w:t>
            </w:r>
          </w:p>
        </w:tc>
        <w:tc>
          <w:p>
            <w:pPr>
              <w:pStyle w:val="Compact"/>
              <w:jc w:val="left"/>
            </w:pPr>
            <w:r>
              <w:t xml:space="preserve">1 552,5</w:t>
            </w:r>
          </w:p>
        </w:tc>
        <w:tc>
          <w:p>
            <w:pPr>
              <w:pStyle w:val="Compact"/>
              <w:jc w:val="left"/>
            </w:pPr>
            <w:r>
              <w:t xml:space="preserve">0,90</w:t>
            </w:r>
          </w:p>
        </w:tc>
        <w:tc>
          <w:p>
            <w:pPr>
              <w:pStyle w:val="Compact"/>
              <w:jc w:val="left"/>
            </w:pPr>
            <w:r>
              <w:t xml:space="preserve">1,5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 — Tomas uso general</w:t>
            </w:r>
          </w:p>
        </w:tc>
        <w:tc>
          <w:p>
            <w:pPr>
              <w:pStyle w:val="Compact"/>
              <w:jc w:val="left"/>
            </w:pPr>
            <w:r>
              <w:t xml:space="preserve">fuerza</w:t>
            </w:r>
          </w:p>
        </w:tc>
        <w:tc>
          <w:p>
            <w:pPr>
              <w:pStyle w:val="Compact"/>
              <w:jc w:val="left"/>
            </w:pPr>
            <w:r>
              <w:t xml:space="preserve">368,0</w:t>
            </w:r>
          </w:p>
        </w:tc>
        <w:tc>
          <w:p>
            <w:pPr>
              <w:pStyle w:val="Compact"/>
              <w:jc w:val="left"/>
            </w:pPr>
            <w:r>
              <w:t xml:space="preserve">0,95</w:t>
            </w:r>
          </w:p>
        </w:tc>
        <w:tc>
          <w:p>
            <w:pPr>
              <w:pStyle w:val="Compact"/>
              <w:jc w:val="left"/>
            </w:pPr>
            <w:r>
              <w:t xml:space="preserve">2,5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 — Cocina/horno</w:t>
            </w:r>
          </w:p>
        </w:tc>
        <w:tc>
          <w:p>
            <w:pPr>
              <w:pStyle w:val="Compact"/>
              <w:jc w:val="left"/>
            </w:pPr>
            <w:r>
              <w:t xml:space="preserve">fuerza</w:t>
            </w:r>
          </w:p>
        </w:tc>
        <w:tc>
          <w:p>
            <w:pPr>
              <w:pStyle w:val="Compact"/>
              <w:jc w:val="left"/>
            </w:pPr>
            <w:r>
              <w:t xml:space="preserve">2 025,0</w:t>
            </w:r>
          </w:p>
        </w:tc>
        <w:tc>
          <w:p>
            <w:pPr>
              <w:pStyle w:val="Compact"/>
              <w:jc w:val="left"/>
            </w:pPr>
            <w:r>
              <w:t xml:space="preserve">0,95</w:t>
            </w:r>
          </w:p>
        </w:tc>
        <w:tc>
          <w:p>
            <w:pPr>
              <w:pStyle w:val="Compact"/>
              <w:jc w:val="left"/>
            </w:pPr>
            <w:r>
              <w:t xml:space="preserve">6,0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 — Lavadora/lavavajillas/termo</w:t>
            </w:r>
          </w:p>
        </w:tc>
        <w:tc>
          <w:p>
            <w:pPr>
              <w:pStyle w:val="Compact"/>
              <w:jc w:val="left"/>
            </w:pPr>
            <w:r>
              <w:t xml:space="preserve">fuerza</w:t>
            </w:r>
          </w:p>
        </w:tc>
        <w:tc>
          <w:p>
            <w:pPr>
              <w:pStyle w:val="Compact"/>
              <w:jc w:val="left"/>
            </w:pPr>
            <w:r>
              <w:t xml:space="preserve">1 707,8</w:t>
            </w:r>
          </w:p>
        </w:tc>
        <w:tc>
          <w:p>
            <w:pPr>
              <w:pStyle w:val="Compact"/>
              <w:jc w:val="left"/>
            </w:pPr>
            <w:r>
              <w:t xml:space="preserve">0,95</w:t>
            </w:r>
          </w:p>
        </w:tc>
        <w:tc>
          <w:p>
            <w:pPr>
              <w:pStyle w:val="Compact"/>
              <w:jc w:val="left"/>
            </w:pPr>
            <w:r>
              <w:t xml:space="preserve">4,0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 — Tomas baño y cocina</w:t>
            </w:r>
          </w:p>
        </w:tc>
        <w:tc>
          <w:p>
            <w:pPr>
              <w:pStyle w:val="Compact"/>
              <w:jc w:val="left"/>
            </w:pPr>
            <w:r>
              <w:t xml:space="preserve">fuerza</w:t>
            </w:r>
          </w:p>
        </w:tc>
        <w:tc>
          <w:p>
            <w:pPr>
              <w:pStyle w:val="Compact"/>
              <w:jc w:val="left"/>
            </w:pPr>
            <w:r>
              <w:t xml:space="preserve">690,0</w:t>
            </w:r>
          </w:p>
        </w:tc>
        <w:tc>
          <w:p>
            <w:pPr>
              <w:pStyle w:val="Compact"/>
              <w:jc w:val="left"/>
            </w:pPr>
            <w:r>
              <w:t xml:space="preserve">0,95</w:t>
            </w:r>
          </w:p>
        </w:tc>
        <w:tc>
          <w:p>
            <w:pPr>
              <w:pStyle w:val="Compact"/>
              <w:jc w:val="left"/>
            </w:pPr>
            <w:r>
              <w:t xml:space="preserve">2,5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C8 — Calefacción</w:t>
            </w:r>
          </w:p>
        </w:tc>
        <w:tc>
          <w:p>
            <w:pPr>
              <w:pStyle w:val="Compact"/>
              <w:jc w:val="left"/>
            </w:pPr>
            <w:r>
              <w:t xml:space="preserve">fuerza</w:t>
            </w:r>
          </w:p>
        </w:tc>
        <w:tc>
          <w:p>
            <w:pPr>
              <w:pStyle w:val="Compact"/>
              <w:jc w:val="left"/>
            </w:pPr>
            <w:r>
              <w:t xml:space="preserve">5 750,0</w:t>
            </w:r>
          </w:p>
        </w:tc>
        <w:tc>
          <w:p>
            <w:pPr>
              <w:pStyle w:val="Compact"/>
              <w:jc w:val="left"/>
            </w:pPr>
            <w:r>
              <w:t xml:space="preserve">0,95</w:t>
            </w:r>
          </w:p>
        </w:tc>
        <w:tc>
          <w:p>
            <w:pPr>
              <w:pStyle w:val="Compact"/>
              <w:jc w:val="left"/>
            </w:pPr>
            <w:r>
              <w:t xml:space="preserve">6,0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C9 — Aire acondicionado</w:t>
            </w:r>
          </w:p>
        </w:tc>
        <w:tc>
          <w:p>
            <w:pPr>
              <w:pStyle w:val="Compact"/>
              <w:jc w:val="left"/>
            </w:pPr>
            <w:r>
              <w:t xml:space="preserve">fuerza</w:t>
            </w:r>
          </w:p>
        </w:tc>
        <w:tc>
          <w:p>
            <w:pPr>
              <w:pStyle w:val="Compact"/>
              <w:jc w:val="left"/>
            </w:pPr>
            <w:r>
              <w:t xml:space="preserve">5 750,0</w:t>
            </w:r>
          </w:p>
        </w:tc>
        <w:tc>
          <w:p>
            <w:pPr>
              <w:pStyle w:val="Compact"/>
              <w:jc w:val="left"/>
            </w:pPr>
            <w:r>
              <w:t xml:space="preserve">0,95</w:t>
            </w:r>
          </w:p>
        </w:tc>
        <w:tc>
          <w:p>
            <w:pPr>
              <w:pStyle w:val="Compact"/>
              <w:jc w:val="left"/>
            </w:pPr>
            <w:r>
              <w:t xml:space="preserve">6,0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C12 — Adicional</w:t>
            </w:r>
          </w:p>
        </w:tc>
        <w:tc>
          <w:p>
            <w:pPr>
              <w:pStyle w:val="Compact"/>
              <w:jc w:val="left"/>
            </w:pPr>
            <w:r>
              <w:t xml:space="preserve">fuerza</w:t>
            </w:r>
          </w:p>
        </w:tc>
        <w:tc>
          <w:p>
            <w:pPr>
              <w:pStyle w:val="Compact"/>
              <w:jc w:val="left"/>
            </w:pPr>
            <w:r>
              <w:t xml:space="preserve">862,5</w:t>
            </w:r>
          </w:p>
        </w:tc>
        <w:tc>
          <w:p>
            <w:pPr>
              <w:pStyle w:val="Compact"/>
              <w:jc w:val="left"/>
            </w:pPr>
            <w:r>
              <w:t xml:space="preserve">0,95</w:t>
            </w:r>
          </w:p>
        </w:tc>
        <w:tc>
          <w:p>
            <w:pPr>
              <w:pStyle w:val="Compact"/>
              <w:jc w:val="left"/>
            </w:pPr>
            <w:r>
              <w:t xml:space="preserve">2,5</w:t>
            </w:r>
          </w:p>
        </w:tc>
      </w:tr>
    </w:tbl>
    <w:p>
      <w:pPr>
        <w:pStyle w:val="Heading2"/>
      </w:pPr>
      <w:bookmarkStart w:id="25" w:name="método-de-cálculo"/>
      <w:r>
        <w:t xml:space="preserve">5. Método de cálculo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Intensidad por tramo:</w:t>
      </w:r>
      <w:r>
        <w:t xml:space="preserve"> </w:t>
      </w:r>
      <w:r>
        <w:t xml:space="preserve">I = P / (U · cos φ) (monofásico).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Propuesta de sección:</w:t>
      </w:r>
      <w:r>
        <w:t xml:space="preserve"> </w:t>
      </w:r>
      <w:r>
        <w:t xml:space="preserve">método de momentos sobre catálogo normalizado, limitada</w:t>
      </w:r>
      <w:r>
        <w:t xml:space="preserve"> </w:t>
      </w:r>
      <w:r>
        <w:t xml:space="preserve">por la</w:t>
      </w:r>
      <w:r>
        <w:t xml:space="preserve"> </w:t>
      </w:r>
      <w:r>
        <w:rPr>
          <w:b/>
        </w:rPr>
        <w:t xml:space="preserve">intensidad admisible</w:t>
      </w:r>
      <w:r>
        <w:t xml:space="preserve"> </w:t>
      </w:r>
      <w:r>
        <w:t xml:space="preserve">(ITC-BT-19, Cu, PVC, 2 conductores cargados) y por la</w:t>
      </w:r>
      <w:r>
        <w:t xml:space="preserve"> </w:t>
      </w:r>
      <w:r>
        <w:rPr>
          <w:b/>
        </w:rPr>
        <w:t xml:space="preserve">sección mínima</w:t>
      </w:r>
      <w:r>
        <w:t xml:space="preserve"> </w:t>
      </w:r>
      <w:r>
        <w:t xml:space="preserve">normativa del circuito.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Caída de tensión (comprobación vinculante):</w:t>
      </w:r>
      <w:r>
        <w:t xml:space="preserve"> </w:t>
      </w:r>
      <w:r>
        <w:t xml:space="preserve">método de las intensidades,</w:t>
      </w:r>
      <w:r>
        <w:t xml:space="preserve"> </w:t>
      </w:r>
      <w:r>
        <w:t xml:space="preserve">ΔU = 2·L·I·cos φ / (γ·S),</w:t>
      </w:r>
      <w:r>
        <w:t xml:space="preserve"> </w:t>
      </w:r>
      <w:r>
        <w:rPr>
          <w:b/>
        </w:rPr>
        <w:t xml:space="preserve">acumulada</w:t>
      </w:r>
      <w:r>
        <w:t xml:space="preserve"> </w:t>
      </w:r>
      <w:r>
        <w:t xml:space="preserve">desde el cuadro por la rama. Si la caída</w:t>
      </w:r>
      <w:r>
        <w:t xml:space="preserve"> </w:t>
      </w:r>
      <w:r>
        <w:t xml:space="preserve">acumulada supera el límite (</w:t>
      </w:r>
      <w:r>
        <w:rPr>
          <w:b/>
        </w:rPr>
        <w:t xml:space="preserve">3 % alumbrado / 5 % fuerza</w:t>
      </w:r>
      <w:r>
        <w:t xml:space="preserve">, ITC-BT-19), el solver</w:t>
      </w:r>
      <w:r>
        <w:t xml:space="preserve"> </w:t>
      </w:r>
      <w:r>
        <w:rPr>
          <w:b/>
        </w:rPr>
        <w:t xml:space="preserve">sube la sección</w:t>
      </w:r>
      <w:r>
        <w:t xml:space="preserve"> </w:t>
      </w:r>
      <w:r>
        <w:t xml:space="preserve">del tramo gobernante hasta cumplir.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Topología radial:</w:t>
      </w:r>
      <w:r>
        <w:t xml:space="preserve"> </w:t>
      </w:r>
      <w:r>
        <w:t xml:space="preserve">propagación por árbol (se reutiliza la del solver hidráulico</w:t>
      </w:r>
      <w:r>
        <w:t xml:space="preserve"> </w:t>
      </w:r>
      <w:r>
        <w:t xml:space="preserve">del plugin); no se requiere reparto hiperestático (Hardy-Cross).</w:t>
      </w:r>
    </w:p>
    <w:p>
      <w:pPr>
        <w:pStyle w:val="Heading2"/>
      </w:pPr>
      <w:bookmarkStart w:id="26" w:name="resultados-y-comprobaciones"/>
      <w:r>
        <w:t xml:space="preserve">6. Resultados y comprobaciones</w:t>
      </w:r>
      <w:bookmarkEnd w:id="26"/>
    </w:p>
    <w:p>
      <w:pPr>
        <w:pStyle w:val="FirstParagraph"/>
      </w:pPr>
      <w:r>
        <w:rPr>
          <w:b/>
        </w:rPr>
        <w:t xml:space="preserve">Veredicto: CUMPLE.</w:t>
      </w:r>
      <w:r>
        <w:t xml:space="preserve"> </w:t>
      </w:r>
      <w:r>
        <w:t xml:space="preserve">Balance de potencias</w:t>
      </w:r>
      <w:r>
        <w:t xml:space="preserve"> </w:t>
      </w:r>
      <w:r>
        <w:rPr>
          <w:b/>
        </w:rPr>
        <w:t xml:space="preserve">0,0000 %</w:t>
      </w:r>
      <w:r>
        <w:t xml:space="preserve"> </w:t>
      </w:r>
      <w:r>
        <w:t xml:space="preserve">(continuidad). Caída de</w:t>
      </w:r>
      <w:r>
        <w:t xml:space="preserve"> </w:t>
      </w:r>
      <w:r>
        <w:t xml:space="preserve">tensión máxima</w:t>
      </w:r>
      <w:r>
        <w:t xml:space="preserve"> </w:t>
      </w:r>
      <w:r>
        <w:rPr>
          <w:b/>
        </w:rPr>
        <w:t xml:space="preserve">1,098 %</w:t>
      </w:r>
      <w:r>
        <w:t xml:space="preserve"> </w:t>
      </w:r>
      <w:r>
        <w:t xml:space="preserve">(circuito gobernante</w:t>
      </w:r>
      <w:r>
        <w:t xml:space="preserve"> </w:t>
      </w:r>
      <w:r>
        <w:rPr>
          <w:b/>
        </w:rPr>
        <w:t xml:space="preserve">C8 — Calefacción</w:t>
      </w:r>
      <w:r>
        <w:t xml:space="preserve">), muy por debajo</w:t>
      </w:r>
      <w:r>
        <w:t xml:space="preserve"> </w:t>
      </w:r>
      <w:r>
        <w:t xml:space="preserve">del límite. Intensidades dentro del admisible en todos los tramos.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Circuito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 (A)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 (mm²)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 adm. (A)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ΔU acum. (%)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Límite (%)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 — Iluminación</w:t>
            </w:r>
          </w:p>
        </w:tc>
        <w:tc>
          <w:p>
            <w:pPr>
              <w:pStyle w:val="Compact"/>
              <w:jc w:val="left"/>
            </w:pPr>
            <w:r>
              <w:t xml:space="preserve">mono</w:t>
            </w:r>
          </w:p>
        </w:tc>
        <w:tc>
          <w:p>
            <w:pPr>
              <w:pStyle w:val="Compact"/>
              <w:jc w:val="left"/>
            </w:pPr>
            <w:r>
              <w:t xml:space="preserve">7,50</w:t>
            </w:r>
          </w:p>
        </w:tc>
        <w:tc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1,048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 — Tomas uso general</w:t>
            </w:r>
          </w:p>
        </w:tc>
        <w:tc>
          <w:p>
            <w:pPr>
              <w:pStyle w:val="Compact"/>
              <w:jc w:val="left"/>
            </w:pPr>
            <w:r>
              <w:t xml:space="preserve">mono</w:t>
            </w:r>
          </w:p>
        </w:tc>
        <w:tc>
          <w:p>
            <w:pPr>
              <w:pStyle w:val="Compact"/>
              <w:jc w:val="left"/>
            </w:pPr>
            <w:r>
              <w:t xml:space="preserve">1,68</w:t>
            </w:r>
          </w:p>
        </w:tc>
        <w:tc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0,149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 — Cocina/horno</w:t>
            </w:r>
          </w:p>
        </w:tc>
        <w:tc>
          <w:p>
            <w:pPr>
              <w:pStyle w:val="Compact"/>
              <w:jc w:val="left"/>
            </w:pPr>
            <w:r>
              <w:t xml:space="preserve">mono</w:t>
            </w:r>
          </w:p>
        </w:tc>
        <w:tc>
          <w:p>
            <w:pPr>
              <w:pStyle w:val="Compact"/>
              <w:jc w:val="left"/>
            </w:pPr>
            <w:r>
              <w:t xml:space="preserve">9,27</w:t>
            </w:r>
          </w:p>
        </w:tc>
        <w:tc>
          <w:p>
            <w:pPr>
              <w:pStyle w:val="Compact"/>
              <w:jc w:val="left"/>
            </w:pPr>
            <w:r>
              <w:t xml:space="preserve">6,0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0,342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 — Lavadora/termo</w:t>
            </w:r>
          </w:p>
        </w:tc>
        <w:tc>
          <w:p>
            <w:pPr>
              <w:pStyle w:val="Compact"/>
              <w:jc w:val="left"/>
            </w:pPr>
            <w:r>
              <w:t xml:space="preserve">mono</w:t>
            </w:r>
          </w:p>
        </w:tc>
        <w:tc>
          <w:p>
            <w:pPr>
              <w:pStyle w:val="Compact"/>
              <w:jc w:val="left"/>
            </w:pPr>
            <w:r>
              <w:t xml:space="preserve">7,82</w:t>
            </w:r>
          </w:p>
        </w:tc>
        <w:tc>
          <w:p>
            <w:pPr>
              <w:pStyle w:val="Compact"/>
              <w:jc w:val="left"/>
            </w:pPr>
            <w:r>
              <w:t xml:space="preserve">4,0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0,432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 — Tomas baño/cocina</w:t>
            </w:r>
          </w:p>
        </w:tc>
        <w:tc>
          <w:p>
            <w:pPr>
              <w:pStyle w:val="Compact"/>
              <w:jc w:val="left"/>
            </w:pPr>
            <w:r>
              <w:t xml:space="preserve">mono</w:t>
            </w:r>
          </w:p>
        </w:tc>
        <w:tc>
          <w:p>
            <w:pPr>
              <w:pStyle w:val="Compact"/>
              <w:jc w:val="left"/>
            </w:pPr>
            <w:r>
              <w:t xml:space="preserve">3,16</w:t>
            </w:r>
          </w:p>
        </w:tc>
        <w:tc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0,316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C8 — Calefacción</w:t>
            </w:r>
          </w:p>
        </w:tc>
        <w:tc>
          <w:p>
            <w:pPr>
              <w:pStyle w:val="Compact"/>
              <w:jc w:val="left"/>
            </w:pPr>
            <w:r>
              <w:t xml:space="preserve">mono</w:t>
            </w:r>
          </w:p>
        </w:tc>
        <w:tc>
          <w:p>
            <w:pPr>
              <w:pStyle w:val="Compact"/>
              <w:jc w:val="left"/>
            </w:pPr>
            <w:r>
              <w:t xml:space="preserve">26,32</w:t>
            </w:r>
          </w:p>
        </w:tc>
        <w:tc>
          <w:p>
            <w:pPr>
              <w:pStyle w:val="Compact"/>
              <w:jc w:val="left"/>
            </w:pPr>
            <w:r>
              <w:t xml:space="preserve">6,0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1,098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C9 — Aire acondicionado</w:t>
            </w:r>
          </w:p>
        </w:tc>
        <w:tc>
          <w:p>
            <w:pPr>
              <w:pStyle w:val="Compact"/>
              <w:jc w:val="left"/>
            </w:pPr>
            <w:r>
              <w:t xml:space="preserve">mono</w:t>
            </w:r>
          </w:p>
        </w:tc>
        <w:tc>
          <w:p>
            <w:pPr>
              <w:pStyle w:val="Compact"/>
              <w:jc w:val="left"/>
            </w:pPr>
            <w:r>
              <w:t xml:space="preserve">26,32</w:t>
            </w:r>
          </w:p>
        </w:tc>
        <w:tc>
          <w:p>
            <w:pPr>
              <w:pStyle w:val="Compact"/>
              <w:jc w:val="left"/>
            </w:pPr>
            <w:r>
              <w:t xml:space="preserve">6,0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1,098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C12 — Adicional</w:t>
            </w:r>
          </w:p>
        </w:tc>
        <w:tc>
          <w:p>
            <w:pPr>
              <w:pStyle w:val="Compact"/>
              <w:jc w:val="left"/>
            </w:pPr>
            <w:r>
              <w:t xml:space="preserve">mono</w:t>
            </w:r>
          </w:p>
        </w:tc>
        <w:tc>
          <w:p>
            <w:pPr>
              <w:pStyle w:val="Compact"/>
              <w:jc w:val="left"/>
            </w:pPr>
            <w:r>
              <w:t xml:space="preserve">3,95</w:t>
            </w:r>
          </w:p>
        </w:tc>
        <w:tc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0,395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</w:tbl>
    <w:p>
      <w:pPr>
        <w:pStyle w:val="BodyText"/>
      </w:pPr>
      <w:r>
        <w:rPr>
          <w:b/>
        </w:rPr>
        <w:t xml:space="preserve">Write-back al IFC:</w:t>
      </w:r>
      <w:r>
        <w:t xml:space="preserve"> </w:t>
      </w:r>
      <w:r>
        <w:t xml:space="preserve">se escriben los Psets</w:t>
      </w:r>
      <w:r>
        <w:t xml:space="preserve"> </w:t>
      </w:r>
      <w:r>
        <w:rPr>
          <w:rStyle w:val="VerbatimChar"/>
        </w:rPr>
        <w:t xml:space="preserve">Pset_Estructurando_ResultadoRed</w:t>
      </w:r>
      <w:r>
        <w:t xml:space="preserve"> </w:t>
      </w:r>
      <w:r>
        <w:t xml:space="preserve">(sección,</w:t>
      </w:r>
      <w:r>
        <w:t xml:space="preserve"> </w:t>
      </w:r>
      <w:r>
        <w:t xml:space="preserve">intensidad, caída de tensión, potencia por tramo; potencia, tensión, caída acumulada y</w:t>
      </w:r>
      <w:r>
        <w:t xml:space="preserve"> </w:t>
      </w:r>
      <w:r>
        <w:t xml:space="preserve">veredicto por terminal) —</w:t>
      </w:r>
      <w:r>
        <w:t xml:space="preserve"> </w:t>
      </w:r>
      <w:r>
        <w:rPr>
          <w:b/>
        </w:rPr>
        <w:t xml:space="preserve">8 elementos enriquecidos</w:t>
      </w:r>
      <w:r>
        <w:t xml:space="preserve">. Validación de red con</w:t>
      </w:r>
      <w:r>
        <w:t xml:space="preserve"> </w:t>
      </w:r>
      <w:r>
        <w:rPr>
          <w:rStyle w:val="VerbatimChar"/>
        </w:rPr>
        <w:t xml:space="preserve">iso19650-openbim:ifc-validate</w:t>
      </w:r>
      <w:r>
        <w:t xml:space="preserve">:</w:t>
      </w:r>
      <w:r>
        <w:t xml:space="preserve"> </w:t>
      </w:r>
      <w:r>
        <w:rPr>
          <w:b/>
        </w:rPr>
        <w:t xml:space="preserve">APTO</w:t>
      </w:r>
      <w:r>
        <w:t xml:space="preserve"> </w:t>
      </w:r>
      <w:r>
        <w:t xml:space="preserve">(continuidad 100 %, 0 incidencias; el validador</w:t>
      </w:r>
      <w:r>
        <w:t xml:space="preserve"> </w:t>
      </w:r>
      <w:r>
        <w:t xml:space="preserve">exige</w:t>
      </w:r>
      <w:r>
        <w:t xml:space="preserve"> </w:t>
      </w:r>
      <w:r>
        <w:rPr>
          <w:rStyle w:val="VerbatimChar"/>
        </w:rPr>
        <w:t xml:space="preserve">Pset_CableSegmentTypeCommon</w:t>
      </w:r>
      <w:r>
        <w:t xml:space="preserve"> </w:t>
      </w:r>
      <w:r>
        <w:t xml:space="preserve">por ser sistema ELECTRICAL).</w:t>
      </w:r>
    </w:p>
    <w:p>
      <w:pPr>
        <w:pStyle w:val="Heading2"/>
      </w:pPr>
      <w:bookmarkStart w:id="27" w:name="conclusiones-y-observaciones"/>
      <w:r>
        <w:t xml:space="preserve">7. Conclusiones y observaciones</w:t>
      </w:r>
      <w:bookmarkEnd w:id="27"/>
    </w:p>
    <w:p>
      <w:pPr>
        <w:pStyle w:val="FirstParagraph"/>
      </w:pPr>
      <w:r>
        <w:t xml:space="preserve">La instalación, con las secciones propuestas (mínimas normativas de la ITC-BT-25 en</w:t>
      </w:r>
      <w:r>
        <w:t xml:space="preserve"> </w:t>
      </w:r>
      <w:r>
        <w:t xml:space="preserve">todos los circuitos), cumple holgadamente las caídas de tensión y las intensidades</w:t>
      </w:r>
      <w:r>
        <w:t xml:space="preserve"> </w:t>
      </w:r>
      <w:r>
        <w:t xml:space="preserve">admisibles. El circuito gobernante en caída de tensión es la calefacción (C8). Todos</w:t>
      </w:r>
      <w:r>
        <w:t xml:space="preserve"> </w:t>
      </w:r>
      <w:r>
        <w:t xml:space="preserve">los NDP marcados</w:t>
      </w:r>
      <w:r>
        <w:t xml:space="preserve"> </w:t>
      </w:r>
      <w:r>
        <w:rPr>
          <w:rStyle w:val="VerbatimChar"/>
        </w:rPr>
        <w:t xml:space="preserve">[confirmar AN]</w:t>
      </w:r>
      <w:r>
        <w:t xml:space="preserve"> </w:t>
      </w:r>
      <w:r>
        <w:t xml:space="preserve">(γ, aislamiento, factores Fu/Fs, intensidades</w:t>
      </w:r>
      <w:r>
        <w:t xml:space="preserve"> </w:t>
      </w:r>
      <w:r>
        <w:t xml:space="preserve">admisibles de tabla) deben ser confirmados por el técnico.</w:t>
      </w:r>
      <w:r>
        <w:t xml:space="preserve"> </w:t>
      </w:r>
      <w:r>
        <w:rPr>
          <w:b/>
        </w:rPr>
        <w:t xml:space="preserve">Predimensionado a revisar</w:t>
      </w:r>
      <w:r>
        <w:rPr>
          <w:b/>
        </w:rPr>
        <w:t xml:space="preserve"> </w:t>
      </w:r>
      <w:r>
        <w:rPr>
          <w:b/>
        </w:rPr>
        <w:t xml:space="preserve">y firmar por técnico competente (Ingeniero de Caminos).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Registro de comprobación — 2026-06-22 · sistema ELECTRICAL (vivienda, electrificación</w:t>
      </w:r>
      <w:r>
        <w:rPr>
          <w:i/>
        </w:rPr>
        <w:t xml:space="preserve"> </w:t>
      </w:r>
      <w:r>
        <w:rPr>
          <w:i/>
        </w:rPr>
        <w:t xml:space="preserve">elevada) · solver eléctrico radial (intensidades + momentos) · γ=56, PVC, 230 V ·</w:t>
      </w:r>
      <w:r>
        <w:rPr>
          <w:i/>
        </w:rPr>
        <w:t xml:space="preserve"> </w:t>
      </w:r>
      <w:r>
        <w:rPr>
          <w:i/>
        </w:rPr>
        <w:t xml:space="preserve">resultado CUMPLE (balance 0,0 %, ΔU máx 1,098 %) · Psets de resultado escritos al IFC</w:t>
      </w:r>
      <w:r>
        <w:rPr>
          <w:i/>
        </w:rPr>
        <w:t xml:space="preserve"> </w:t>
      </w:r>
      <w:r>
        <w:rPr>
          <w:i/>
        </w:rPr>
        <w:t xml:space="preserve">(APTO).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2026-06-22T13:33:51Z</dcterms:created>
  <dcterms:modified xsi:type="dcterms:W3CDTF">2026-06-22T13:33:51Z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