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alibri" w:cs="Calibri" w:eastAsia="Calibri" w:hAnsi="Calibri"/>
          <w:b/>
          <w:bCs/>
          <w:color w:val="B5670F"/>
          <w:spacing w:val="60"/>
          <w:sz w:val="24"/>
          <w:szCs w:val="24"/>
        </w:rPr>
        <w:t xml:space="preserve">ESTRUCTURANDO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16324F"/>
          <w:sz w:val="52"/>
          <w:szCs w:val="52"/>
        </w:rPr>
        <w:t xml:space="preserve">Roadmap de industrializacion del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6324F"/>
          <w:sz w:val="52"/>
          <w:szCs w:val="52"/>
        </w:rPr>
        <w:t xml:space="preserve">ecosistema de agentes de ingenieria</w:t>
      </w:r>
    </w:p>
    <w:p>
      <w:pPr>
        <w:spacing w:after="0" w:before="240"/>
      </w:pPr>
      <w:r>
        <w:rPr>
          <w:rFonts w:ascii="Calibri" w:cs="Calibri" w:eastAsia="Calibri" w:hAnsi="Calibri"/>
          <w:i/>
          <w:iCs/>
          <w:color w:val="2E6E8E"/>
          <w:sz w:val="30"/>
          <w:szCs w:val="30"/>
        </w:rPr>
        <w:t xml:space="preserve">De plugins artesanales a produccion certificada</w:t>
      </w: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1B2A38"/>
          <w:sz w:val="24"/>
          <w:szCs w:val="24"/>
        </w:rPr>
        <w:t xml:space="preserve">Planteamiento dual: </w:t>
      </w:r>
      <w:r>
        <w:rPr>
          <w:rFonts w:ascii="Calibri" w:cs="Calibri" w:eastAsia="Calibri" w:hAnsi="Calibri"/>
          <w:color w:val="1B2A38"/>
          <w:sz w:val="24"/>
          <w:szCs w:val="24"/>
        </w:rPr>
        <w:t xml:space="preserve">uso interno (Escenario A) + wedge BIM/cumplimiento, en paralelo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5C6B7C"/>
          <w:sz w:val="22"/>
          <w:szCs w:val="22"/>
        </w:rPr>
        <w:t xml:space="preserve">Documento de doble alcance: </w:t>
      </w:r>
      <w:r>
        <w:rPr>
          <w:rFonts w:ascii="Calibri" w:cs="Calibri" w:eastAsia="Calibri" w:hAnsi="Calibri"/>
          <w:color w:val="5C6B7C"/>
          <w:sz w:val="22"/>
          <w:szCs w:val="22"/>
        </w:rPr>
        <w:t xml:space="preserve">estrategia de negocio y gua pseudotecnica para el equipo de desarrollo</w:t>
      </w:r>
    </w:p>
    <w:p>
      <w:pPr>
        <w:spacing w:after="0" w:before="1400"/>
      </w:pPr>
      <w:r>
        <w:rPr>
          <w:rFonts w:ascii="Calibri" w:cs="Calibri" w:eastAsia="Calibri" w:hAnsi="Calibri"/>
          <w:color w:val="5C6B7C"/>
          <w:sz w:val="20"/>
          <w:szCs w:val="20"/>
        </w:rPr>
        <w:t xml:space="preserve">Version 1.0  ·  Junio 2026</w:t>
      </w:r>
    </w:p>
    <w:p>
      <w:pPr>
        <w:spacing w:after="0"/>
      </w:pPr>
      <w:r>
        <w:rPr>
          <w:rFonts w:ascii="Calibri" w:cs="Calibri" w:eastAsia="Calibri" w:hAnsi="Calibri"/>
          <w:color w:val="5C6B7C"/>
          <w:sz w:val="20"/>
          <w:szCs w:val="20"/>
        </w:rPr>
        <w:t xml:space="preserve">Confidencial  ·  uso interno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Como leer este documento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roadmap se lee con dos lentes que aparecen marcadas en cada fase. La lente de negocio explica que se vende, a quien y por que; la lente tecnica explica que hay que construir y con que nivel de rigor. Ambas avanzan a la vez: ninguna fase se considera cerrada si solo cumple una de las dos.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objetivo comercial, alcance de producto, cliente y resultado economico de la fase.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alcance de ingenieria, nivel de madurez del nucleo y practicas a implantar (casos golden, CI/CD, certificacion).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16324F" w:sz="4"/>
          <w:left w:val="single" w:color="16324F" w:sz="12"/>
          <w:bottom w:val="single" w:color="16324F" w:sz="4"/>
          <w:right w:val="single" w:color="16324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0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Idea rectora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Dos vias en paralelo sobre una misma espina dorsal. </w:t>
            </w:r>
            <w:r>
              <w:rPr>
                <w:rFonts w:ascii="Calibri" w:cs="Calibri" w:eastAsia="Calibri" w:hAnsi="Calibri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color w:val="1F5A7A"/>
              </w:rPr>
              <w:t xml:space="preserve">Track A (uso interno)</w:t>
            </w:r>
            <w:r>
              <w:rPr>
                <w:rFonts w:ascii="Calibri" w:cs="Calibri" w:eastAsia="Calibri" w:hAnsi="Calibri"/>
              </w:rPr>
              <w:t xml:space="preserve"> de-riskea, genera los casos de referencia y financia el aprendizaje. El </w:t>
            </w:r>
            <w:r>
              <w:rPr>
                <w:rFonts w:ascii="Calibri" w:cs="Calibri" w:eastAsia="Calibri" w:hAnsi="Calibri"/>
                <w:b/>
                <w:bCs/>
                <w:color w:val="1F5A7A"/>
              </w:rPr>
              <w:t xml:space="preserve">Track B (wedge externo)</w:t>
            </w:r>
            <w:r>
              <w:rPr>
                <w:rFonts w:ascii="Calibri" w:cs="Calibri" w:eastAsia="Calibri" w:hAnsi="Calibri"/>
              </w:rPr>
              <w:t xml:space="preserve"> convierte ese aprendizaje en producto vendible de baja friccion. La </w:t>
            </w:r>
            <w:r>
              <w:rPr>
                <w:rFonts w:ascii="Calibri" w:cs="Calibri" w:eastAsia="Calibri" w:hAnsi="Calibri"/>
                <w:b/>
                <w:bCs/>
                <w:color w:val="8A5A12"/>
              </w:rPr>
              <w:t xml:space="preserve">industrializacion</w:t>
            </w:r>
            <w:r>
              <w:rPr>
                <w:rFonts w:ascii="Calibri" w:cs="Calibri" w:eastAsia="Calibri" w:hAnsi="Calibri"/>
              </w:rPr>
              <w:t xml:space="preserve"> es la columna que sostiene ambas: lleva el ecosistema del nivel artesanal (N0) al de produccion certificada (N4-N5), fase a fase.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ecosistema de agentes de ingenieria es hoy una plataforma vertical AEC con tres capas (nucleo de calculo, orquestacion agentica y datos/interoperabilidad IFC) que cubre estructuras, instalaciones, obras lineales y puentes, con soporte de Eurocodigos, CTE, Normas IC e ISO 19650. La oportunidad no es construir otro programa de calculo, sino industrializar esa plataforma para que pase de prototipos movidos por prompt a un producto reproducible, verificable y certificable.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estrategia adoptada es dual y secuencial. Se desarrolla y consolida el uso interno (Escenario A) mientras, en paralelo, se entra al mercado por un wedge de baja friccion: la capa BIM/cumplimiento (Visor + ISO 19650 + CTE). El uso interno prueba el valor y produce los casos de referencia; el wedge abre la cuenta del cliente con un dolor recurrente y poca exposicion a responsabilidad civil. El motor de calculo pesado se reserva como diferencial interno y producto premium de fases posteriores.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roadmap se organiza en cinco fases (0 a 4) a lo largo de unos tres anos y medio. Cada fase tiene un alcance definido por las dos lentes, un entregable principal verificable y un criterio de salida (gate) que condiciona el inicio de la siguiente. Transversalmente, un modelo de madurez de seis niveles (N0 a N5) describe como pasar, de forma ordenada, de plugins artesanales a produccion certificada.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B5670F" w:sz="4"/>
          <w:left w:val="single" w:color="B5670F" w:sz="12"/>
          <w:bottom w:val="single" w:color="B5670F" w:sz="4"/>
          <w:right w:val="single" w:color="B5670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5670F"/>
                <w:sz w:val="20"/>
                <w:szCs w:val="20"/>
              </w:rPr>
              <w:t xml:space="preserve">Tesis en una linea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Empezar por dentro, salir por el wedge y subir el nivel de madurez en cada fase, de modo que cada etapa se autofinancie con la anterior y la calidad (casos golden + espejo) se convierta en el argumento de venta y la barrera de entrada.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El planteamiento dual: dos tracks, una espina dorsal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dos vias no compiten por recursos: se alimentan. El trabajo interno produce datos, criterios y casos golden; esos activos hacen el producto externo mas creible y mas barato de construir. A su vez, el producto externo impone disciplina de calidad y de coste que mejora el uso interno.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2.1. Track A — Uso interno (Escenario A)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multiplicar la productividad del propio despacho, retener el conocimiento (memoria de despacho) y operar un segundo verificador independiente del calculo humano. ROI medible en horas y en retrabajo evitado.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usar el ecosistema en proyectos reales de extremo a extremo, capturar criterios y convertir los casos reales en la suite de regresion del nucleo.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2.2. Track B — Wedge externo (capa BIM/cumplimiento)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entrar al mercado con el producto de menor friccion legal y mayor recurrencia: Visor OpenBIM + auditoria ISO 19650 + checklist CTE. Comprador amplio (BIM managers, oficinas de proyecto), empujado por el mandato BIM publico.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empaquetar la capa de datos/interoperabilidad como producto utilizable por no-desarrolladores, sin exponer el motor de calculo ni asumir responsabilidad de firma.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2.3. Como se alimentan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Interno -&gt; Externo: </w:t>
      </w:r>
      <w:r>
        <w:rPr>
          <w:rFonts w:ascii="Calibri" w:cs="Calibri" w:eastAsia="Calibri" w:hAnsi="Calibri"/>
        </w:rPr>
        <w:t xml:space="preserve">los proyectos propios generan casos golden, plantillas de memoria y criterios que nutren el producto y sirven de demo y caso de referencia.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Externo -&gt; Interno: </w:t>
      </w:r>
      <w:r>
        <w:rPr>
          <w:rFonts w:ascii="Calibri" w:cs="Calibri" w:eastAsia="Calibri" w:hAnsi="Calibri"/>
        </w:rPr>
        <w:t xml:space="preserve">los pilotos imponen versionado, CI/CD, control de coste de inferencia y SLA; esa disciplina endurece el nucleo que el despacho usa a diario.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Frontera clara: </w:t>
      </w:r>
      <w:r>
        <w:rPr>
          <w:rFonts w:ascii="Calibri" w:cs="Calibri" w:eastAsia="Calibri" w:hAnsi="Calibri"/>
        </w:rPr>
        <w:t xml:space="preserve">el wedge vende proceso y documentacion (no firma); el calculo estructural permanece como copiloto interno/premium hasta disponer de certificacion numerica trazable (Fase 2).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La espina dorsal: de artesanal a certificado (N0 -&gt; N5)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industrializacion no es un hito sino una escalera. Cada peldano anade una garantia y se apoya en el anterior. Saltar peldanos (por ejemplo, certificar sin tener casos golden) no es viable: el modelo fija el orden.</w:t>
      </w:r>
    </w:p>
    <w:tbl>
      <w:tblPr>
        <w:tblW w:type="dxa" w:w="9026"/>
        <w:tblBorders>
          <w:top w:val="single" w:color="C7D2DC" w:sz="1"/>
          <w:left w:val="single" w:color="C7D2DC" w:sz="1"/>
          <w:bottom w:val="single" w:color="C7D2DC" w:sz="1"/>
          <w:right w:val="single" w:color="C7D2DC" w:sz="1"/>
          <w:insideH w:val="single" w:color="C7D2DC" w:sz="1"/>
          <w:insideV w:val="single" w:color="C7D2DC" w:sz="1"/>
        </w:tblBorders>
      </w:tblPr>
      <w:tblGrid>
        <w:gridCol w:w="900"/>
        <w:gridCol w:w="1700"/>
        <w:gridCol w:w="4426"/>
        <w:gridCol w:w="2000"/>
      </w:tblGrid>
      <w:tr>
        <w:trPr>
          <w:tblHeader/>
        </w:trPr>
        <w:tc>
          <w:tcPr>
            <w:tcW w:type="dxa" w:w="900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700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426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lo caracteriza</w:t>
            </w:r>
          </w:p>
        </w:tc>
        <w:tc>
          <w:tcPr>
            <w:tcW w:type="dxa" w:w="2000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N0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Artesanal</w:t>
            </w:r>
          </w:p>
        </w:tc>
        <w:tc>
          <w:tcPr>
            <w:tcW w:type="dxa" w:w="4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Plugins movidos por prompt; validacion manual y puntual; conocimiento en la cabeza del autor; sin trazabilidad.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Punto de partida</w:t>
            </w:r>
          </w:p>
        </w:tc>
      </w:tr>
      <w:tr>
        <w:tc>
          <w:tcPr>
            <w:tcW w:type="dxa" w:w="9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N1</w:t>
            </w:r>
          </w:p>
        </w:tc>
        <w:tc>
          <w:tcPr>
            <w:tcW w:type="dxa" w:w="17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Reproducible</w:t>
            </w:r>
          </w:p>
        </w:tc>
        <w:tc>
          <w:tcPr>
            <w:tcW w:type="dxa" w:w="4426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Control de versiones, dependencias fijadas, build determinista y empaquetado firmado del nucleo y los plugins.</w:t>
            </w:r>
          </w:p>
        </w:tc>
        <w:tc>
          <w:tcPr>
            <w:tcW w:type="dxa" w:w="20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Fase 0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N2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Verificado</w:t>
            </w:r>
          </w:p>
        </w:tc>
        <w:tc>
          <w:tcPr>
            <w:tcW w:type="dxa" w:w="4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Casos golden + arnes de regresion + puertas espejo (verificacion contra oraculo numerico conocido).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Fase 0 -&gt; 1</w:t>
            </w:r>
          </w:p>
        </w:tc>
      </w:tr>
      <w:tr>
        <w:tc>
          <w:tcPr>
            <w:tcW w:type="dxa" w:w="9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N3</w:t>
            </w:r>
          </w:p>
        </w:tc>
        <w:tc>
          <w:tcPr>
            <w:tcW w:type="dxa" w:w="17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Integrado</w:t>
            </w:r>
          </w:p>
        </w:tc>
        <w:tc>
          <w:tcPr>
            <w:tcW w:type="dxa" w:w="4426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CI/CD: cada cambio ejecuta la suite golden; merges con puerta verde; telemetria y coste de inferencia medidos.</w:t>
            </w:r>
          </w:p>
        </w:tc>
        <w:tc>
          <w:tcPr>
            <w:tcW w:type="dxa" w:w="20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N4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4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Trazabilidad codigo&lt;-&gt;norma&lt;-&gt;resultado; informe de QA por calculo; releases auditables y firmados.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9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N5</w:t>
            </w:r>
          </w:p>
        </w:tc>
        <w:tc>
          <w:tcPr>
            <w:tcW w:type="dxa" w:w="17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Gobernado</w:t>
            </w:r>
          </w:p>
        </w:tc>
        <w:tc>
          <w:tcPr>
            <w:tcW w:type="dxa" w:w="4426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Observabilidad, SLA, coste de inferencia gobernado, seguridad multi-tenant y certificacion de plugins de terceros.</w:t>
            </w:r>
          </w:p>
        </w:tc>
        <w:tc>
          <w:tcPr>
            <w:tcW w:type="dxa" w:w="20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Fases 3 - 4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2E7D52" w:sz="4"/>
          <w:left w:val="single" w:color="2E7D52" w:sz="12"/>
          <w:bottom w:val="single" w:color="2E7D52" w:sz="4"/>
          <w:right w:val="single" w:color="2E7D52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D52"/>
                <w:sz w:val="20"/>
                <w:szCs w:val="20"/>
              </w:rPr>
              <w:t xml:space="preserve">Principio de industrializacion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La QA rigurosa (espejo + casos golden) deja de ser deuda tecnica y se convierte en producto: </w:t>
            </w:r>
            <w:r>
              <w:rPr>
                <w:rFonts w:ascii="Calibri" w:cs="Calibri" w:eastAsia="Calibri" w:hAnsi="Calibri"/>
                <w:b/>
                <w:bCs/>
              </w:rPr>
              <w:t xml:space="preserve">es lo que permite afirmar, con evidencia trazable, que un resultado es correcto</w:t>
            </w:r>
            <w:r>
              <w:rPr>
                <w:rFonts w:ascii="Calibri" w:cs="Calibri" w:eastAsia="Calibri" w:hAnsi="Calibri"/>
              </w:rPr>
              <w:t xml:space="preserve"> — y eso es lo que un ingeniero firmante y un cliente compran.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Las cinco fases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0 — Cimentar  (0 - 6 meses)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324F"/>
        </w:rPr>
        <w:t xml:space="preserve">Objetivo — </w:t>
      </w:r>
      <w:r>
        <w:rPr>
          <w:rFonts w:ascii="Calibri" w:cs="Calibri" w:eastAsia="Calibri" w:hAnsi="Calibri"/>
        </w:rPr>
        <w:t xml:space="preserve">Convertir la base de plugins artesanales en una base reproducible y verificable, usandola ya en proyectos internos reales y dejando preparado el wedge.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A · uso interno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Operar el ecosistema en 2-3 proyectos propios de extremo a extremo y medir el baseline de ROI (horas por entregable y tasa de retrabajo).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Capturar los criterios de despacho en la memoria y formalizar los casos reales (PUE/LIN/INC) como suite de regresion.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B · wedge externo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Definir el producto del wedge (PRD): que incluye la capa BIM/cumplimiento, para quien y a que precio; identificar 3-5 despachos piloto y firmar cartas de intencion (LOI).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Inventariar y empaquetar los componentes del wedge ya existentes (Visor, parser/validador IFC, ISO 19650, checklist CTE) y fijar su frontera funcional.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Industrializacion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2"/>
        </w:rPr>
        <w:t xml:space="preserve">Nivel objetivo — </w:t>
      </w:r>
      <w:r>
        <w:rPr>
          <w:rFonts w:ascii="Calibri" w:cs="Calibri" w:eastAsia="Calibri" w:hAnsi="Calibri"/>
        </w:rPr>
        <w:t xml:space="preserve">N1 (reproducible) y arranque de N2 (verificado).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Monorepo con control de versiones, dependencias fijadas y build determinista del nucleo y los plugins (documentar la toolchain).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Arnes de casos golden ejecutable a partir de los casos existentes; oraculo numerico de referencia documentado.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Formalizar las puertas espejo/APTO como comprobacion automatica reutilizable.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Entregables de la fase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Nucleo v1.0 endurecido: </w:t>
      </w:r>
      <w:r>
        <w:rPr>
          <w:rFonts w:ascii="Calibri" w:cs="Calibri" w:eastAsia="Calibri" w:hAnsi="Calibri"/>
        </w:rPr>
        <w:t xml:space="preserve">repositorio versionado + suite de casos golden ejecutable + informe de validacion numerica (baseline).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Memoria de baseline de ROI interno: </w:t>
      </w:r>
      <w:r>
        <w:rPr>
          <w:rFonts w:ascii="Calibri" w:cs="Calibri" w:eastAsia="Calibri" w:hAnsi="Calibri"/>
        </w:rPr>
        <w:t xml:space="preserve">horas ahorradas y retrabajo evitado, medidos sobre proyectos reales.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PRD del wedge + LOIs: </w:t>
      </w:r>
      <w:r>
        <w:rPr>
          <w:rFonts w:ascii="Calibri" w:cs="Calibri" w:eastAsia="Calibri" w:hAnsi="Calibri"/>
        </w:rPr>
        <w:t xml:space="preserve">definicion de producto de la capa BIM/cumplimiento y 3-5 cartas de intencion de pilotos.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B5670F" w:sz="4"/>
          <w:left w:val="single" w:color="B5670F" w:sz="12"/>
          <w:bottom w:val="single" w:color="B5670F" w:sz="4"/>
          <w:right w:val="single" w:color="B5670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5670F"/>
                <w:sz w:val="20"/>
                <w:szCs w:val="20"/>
              </w:rPr>
              <w:t xml:space="preserve">Criterio de salida (gate para iniciar la fase siguiente)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Suite de casos golden cubriendo los modulos criticos y en verde; baseline de ROI documentado; PRD aprobado y &gt;=3 LOIs firmadas.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1 — Validar  (6 - 12 meses)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324F"/>
        </w:rPr>
        <w:t xml:space="preserve">Objetivo — </w:t>
      </w:r>
      <w:r>
        <w:rPr>
          <w:rFonts w:ascii="Calibri" w:cs="Calibri" w:eastAsia="Calibri" w:hAnsi="Calibri"/>
        </w:rPr>
        <w:t xml:space="preserve">Lanzar el wedge a pilotos pagados mientras el uso interno se consolida como plataforma, con integracion continua sobre los casos golden.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A · uso interno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Extender el uso interno a mas disciplinas (estructuras e instalaciones) y poner en marcha el segundo verificador como checker del calculo humano.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Generalizar la memoria de despacho y conectar los proyectos internos como fuente continua de nuevos casos golden.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B · wedge externo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Poner en produccion el wedge 1.0 con una UX minima utilizable por no-desarrolladores y cerrar 5-10 pilotos pagados (auditoria ISO 19650, validacion IFC, checklist CTE).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Empaquetar el wedge como aplicacion web; instrumentar telemetria de uso y medir el coste de inferencia por proyecto.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Industrializacion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2"/>
        </w:rPr>
        <w:t xml:space="preserve">Nivel objetivo — </w:t>
      </w:r>
      <w:r>
        <w:rPr>
          <w:rFonts w:ascii="Calibri" w:cs="Calibri" w:eastAsia="Calibri" w:hAnsi="Calibri"/>
        </w:rPr>
        <w:t xml:space="preserve">N3 (integrado, CI/CD).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Pipeline CI/CD: cada cambio ejecuta la suite golden y los merges requieren puerta verde.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Versionado semantico y changelog del nucleo y de cada plugin.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Telemetria basica y panel de coste de inferencia por cuenta y por caso.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Entregables de la fase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Wedge 1.0 en produccion: </w:t>
      </w:r>
      <w:r>
        <w:rPr>
          <w:rFonts w:ascii="Calibri" w:cs="Calibri" w:eastAsia="Calibri" w:hAnsi="Calibri"/>
        </w:rPr>
        <w:t xml:space="preserve">con 5-10 clientes piloto pagados y soporte basico.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Pipeline CI/CD operativo: </w:t>
      </w:r>
      <w:r>
        <w:rPr>
          <w:rFonts w:ascii="Calibri" w:cs="Calibri" w:eastAsia="Calibri" w:hAnsi="Calibri"/>
        </w:rPr>
        <w:t xml:space="preserve">suite golden automatizada y puertas de merge; documento de arquitectura del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Informe de validacion de pilotos: </w:t>
      </w:r>
      <w:r>
        <w:rPr>
          <w:rFonts w:ascii="Calibri" w:cs="Calibri" w:eastAsia="Calibri" w:hAnsi="Calibri"/>
        </w:rPr>
        <w:t xml:space="preserve">casos cerrados, satisfaccion (NPS), reduccion de tiempo de auditoria e ingresos recurrentes iniciales (MRR).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B5670F" w:sz="4"/>
          <w:left w:val="single" w:color="B5670F" w:sz="12"/>
          <w:bottom w:val="single" w:color="B5670F" w:sz="4"/>
          <w:right w:val="single" w:color="B5670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5670F"/>
                <w:sz w:val="20"/>
                <w:szCs w:val="20"/>
              </w:rPr>
              <w:t xml:space="preserve">Criterio de salida (gate para iniciar la fase siguiente)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Pilotos con uso recurrente y disposicion a pagar confirmada; CI/CD estable; coste de inferencia por proyecto conocido y sostenible.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2 — Productizar / Spin-off  (12 - 24 meses)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324F"/>
        </w:rPr>
        <w:t xml:space="preserve">Objetivo — </w:t>
      </w:r>
      <w:r>
        <w:rPr>
          <w:rFonts w:ascii="Calibri" w:cs="Calibri" w:eastAsia="Calibri" w:hAnsi="Calibri"/>
        </w:rPr>
        <w:t xml:space="preserve">Constituir el spin-off, profesionalizar el producto (UX, pricing, soporte) y abrir el upsell al copiloto de estructuras e instalaciones sobre un nucleo ya certificado.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A · uso interno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El despacho propio actua como cliente cero y caso de referencia; sus criterios alimentan la configuracion multi-organizacion.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Convertir la memoria de despacho en memoria multi-tenant (criterios por organizacion) sin mezclar datos.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B · wedge externo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Comercializar el copiloto vertical 1.0 (estructuras + instalaciones + norma) con onboarding self-serve y pricing por puesto + modulo de empresa; soporte con SLA.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App de producto madura; aislamiento multi-tenant; gestion de cuentas, roles y facturacion.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Industrializacion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2"/>
        </w:rPr>
        <w:t xml:space="preserve">Nivel objetivo — </w:t>
      </w:r>
      <w:r>
        <w:rPr>
          <w:rFonts w:ascii="Calibri" w:cs="Calibri" w:eastAsia="Calibri" w:hAnsi="Calibri"/>
        </w:rPr>
        <w:t xml:space="preserve">N4 (certificado).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Certificacion numerica trazable: cada resultado enlaza codigo, norma, caso y version.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Informe de QA automatico por calculo, apto para soporte de la responsabilidad del firmante.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Releases firmados y auditables; cumplimiento RGPD y seguridad de datos.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Entregables de la fase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Copiloto vertical 1.0 comercial: </w:t>
      </w:r>
      <w:r>
        <w:rPr>
          <w:rFonts w:ascii="Calibri" w:cs="Calibri" w:eastAsia="Calibri" w:hAnsi="Calibri"/>
        </w:rPr>
        <w:t xml:space="preserve">disponible para clientes de pago recurrente fuera del programa de pilotos.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Spin-off constituido: </w:t>
      </w:r>
      <w:r>
        <w:rPr>
          <w:rFonts w:ascii="Calibri" w:cs="Calibri" w:eastAsia="Calibri" w:hAnsi="Calibri"/>
        </w:rPr>
        <w:t xml:space="preserve">plan de negocio, pricing definitivo y estructura societaria/operativa.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Sistema de certificacion numerica trazable: </w:t>
      </w:r>
      <w:r>
        <w:rPr>
          <w:rFonts w:ascii="Calibri" w:cs="Calibri" w:eastAsia="Calibri" w:hAnsi="Calibri"/>
        </w:rPr>
        <w:t xml:space="preserve">operativo, con el primer informe de certificacion por proyecto.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B5670F" w:sz="4"/>
          <w:left w:val="single" w:color="B5670F" w:sz="12"/>
          <w:bottom w:val="single" w:color="B5670F" w:sz="4"/>
          <w:right w:val="single" w:color="B5670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5670F"/>
                <w:sz w:val="20"/>
                <w:szCs w:val="20"/>
              </w:rPr>
              <w:t xml:space="preserve">Criterio de salida (gate para iniciar la fase siguiente)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ARR del orden de 0,5-1 M EUR; conversion piloto-&gt;pago demostrada con churn bajo; certificacion trazable validada en produccion.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3 — Escalar  (24 - 36 meses)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324F"/>
        </w:rPr>
        <w:t xml:space="preserve">Objetivo — </w:t>
      </w:r>
      <w:r>
        <w:rPr>
          <w:rFonts w:ascii="Calibri" w:cs="Calibri" w:eastAsia="Calibri" w:hAnsi="Calibri"/>
        </w:rPr>
        <w:t xml:space="preserve">Crecer por canal e integraciones y expandir geograficamente (Eurocodigos a otros paises UE y normativa LatAm).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A · uso interno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Usar el despacho como laboratorio de nuevas disciplinas antes de llevarlas a producto.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Industrializar el alta de nuevas disciplinas (plantilla de plugin con sus casos golden y puertas) para reducir el coste marginal de cada vertical.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B · wedge externo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Activar el canal de colegios profesionales y prescriptores; publicar integraciones (IFC/Revit/CYPE y conectores con el CDE) y abrir mercados internacionales.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Conectores de lectura/escritura con herramientas de terceros; localizacion normativa por pais; escalado de la plataforma.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Industrializacion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2"/>
        </w:rPr>
        <w:t xml:space="preserve">Nivel objetivo — </w:t>
      </w:r>
      <w:r>
        <w:rPr>
          <w:rFonts w:ascii="Calibri" w:cs="Calibri" w:eastAsia="Calibri" w:hAnsi="Calibri"/>
        </w:rPr>
        <w:t xml:space="preserve">Arranque de N5 (gobernado).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Observabilidad completa, SLA formales y escalado multi-tenant.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Gobierno del coste de inferencia (presupuesto por cuenta, alertas, optimizacion y cache de conocimiento normativo).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Servicio opcional de verificacion/peer-review frente a proyectos de terceros.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Entregables de la fase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Plataforma escalable con integraciones publicadas: </w:t>
      </w:r>
      <w:r>
        <w:rPr>
          <w:rFonts w:ascii="Calibri" w:cs="Calibri" w:eastAsia="Calibri" w:hAnsi="Calibri"/>
        </w:rPr>
        <w:t xml:space="preserve">IFC/Revit/CYPE y conectores de CDE en produccion.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Acuerdos de canal firmados: </w:t>
      </w:r>
      <w:r>
        <w:rPr>
          <w:rFonts w:ascii="Calibri" w:cs="Calibri" w:eastAsia="Calibri" w:hAnsi="Calibri"/>
        </w:rPr>
        <w:t xml:space="preserve">con colegios y/o prescriptores, con pipeline comercial activo.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Presencia en &gt;=2 mercados: </w:t>
      </w:r>
      <w:r>
        <w:rPr>
          <w:rFonts w:ascii="Calibri" w:cs="Calibri" w:eastAsia="Calibri" w:hAnsi="Calibri"/>
        </w:rPr>
        <w:t xml:space="preserve">con normativa localizada y primeros clientes internacionales.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B5670F" w:sz="4"/>
          <w:left w:val="single" w:color="B5670F" w:sz="12"/>
          <w:bottom w:val="single" w:color="B5670F" w:sz="4"/>
          <w:right w:val="single" w:color="B5670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5670F"/>
                <w:sz w:val="20"/>
                <w:szCs w:val="20"/>
              </w:rPr>
              <w:t xml:space="preserve">Criterio de salida (gate para iniciar la fase siguiente)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ARR del orden de 2-3 M EUR; retencion neta de ingresos (NRR) saludable; al menos dos integraciones y dos mercados activos.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4 — Plataforma / Ecosistema  (36+ meses)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324F"/>
        </w:rPr>
        <w:t xml:space="preserve">Objetivo — </w:t>
      </w:r>
      <w:r>
        <w:rPr>
          <w:rFonts w:ascii="Calibri" w:cs="Calibri" w:eastAsia="Calibri" w:hAnsi="Calibri"/>
        </w:rPr>
        <w:t xml:space="preserve">Abrir el ecosistema a terceros (marketplace de disciplinas), exponer el nucleo como API y explorar alianzas u operaciones corporativas.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A · uso interno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El despacho propio se posiciona como showcase y centro de excelencia de la plataforma.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Mantener el despacho como banco de pruebas de las capacidades avanzadas antes de su apertura a terceros.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Track B · wedge externo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A7A"/>
        </w:rPr>
        <w:t xml:space="preserve">Negocio — </w:t>
      </w:r>
      <w:r>
        <w:rPr>
          <w:rFonts w:ascii="Calibri" w:cs="Calibri" w:eastAsia="Calibri" w:hAnsi="Calibri"/>
        </w:rPr>
        <w:t xml:space="preserve">Marketplace donde terceros desarrollan disciplinas/plugins sobre la plataforma; API del nucleo de calculo/verificacion como PaaS para integradores; alianzas estrategicas.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5A12"/>
        </w:rPr>
        <w:t xml:space="preserve">Tecnico — </w:t>
      </w:r>
      <w:r>
        <w:rPr>
          <w:rFonts w:ascii="Calibri" w:cs="Calibri" w:eastAsia="Calibri" w:hAnsi="Calibri"/>
        </w:rPr>
        <w:t xml:space="preserve">SDK y estandares de certificacion para plugins de terceros; control de calidad del marketplace; APIs publicas estables y versionadas.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Industrializacion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2"/>
        </w:rPr>
        <w:t xml:space="preserve">Nivel objetivo — </w:t>
      </w:r>
      <w:r>
        <w:rPr>
          <w:rFonts w:ascii="Calibri" w:cs="Calibri" w:eastAsia="Calibri" w:hAnsi="Calibri"/>
        </w:rPr>
        <w:t xml:space="preserve">N5 pleno (gobierno del ecosistema).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Programa de certificacion de plugins de terceros (mismas puertas de calidad que el nucleo).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Gobierno del marketplace: revision, versionado y reparto de ingresos.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APIs publicas con contrato estable, cuotas y monitorizacion.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Entregables de la fase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Marketplace abierto: </w:t>
      </w:r>
      <w:r>
        <w:rPr>
          <w:rFonts w:ascii="Calibri" w:cs="Calibri" w:eastAsia="Calibri" w:hAnsi="Calibri"/>
        </w:rPr>
        <w:t xml:space="preserve">con desarrolladores y plugins de terceros certificados.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API publica del nucleo: </w:t>
      </w:r>
      <w:r>
        <w:rPr>
          <w:rFonts w:ascii="Calibri" w:cs="Calibri" w:eastAsia="Calibri" w:hAnsi="Calibri"/>
        </w:rPr>
        <w:t xml:space="preserve">de calculo/verificacion, con clientes integradores.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Programa de certificacion + alianzas: </w:t>
      </w:r>
      <w:r>
        <w:rPr>
          <w:rFonts w:ascii="Calibri" w:cs="Calibri" w:eastAsia="Calibri" w:hAnsi="Calibri"/>
        </w:rPr>
        <w:t xml:space="preserve">estandar de calidad para terceros y acuerdos estrategicos/corporativos.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B5670F" w:sz="4"/>
          <w:left w:val="single" w:color="B5670F" w:sz="12"/>
          <w:bottom w:val="single" w:color="B5670F" w:sz="4"/>
          <w:right w:val="single" w:color="B5670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5670F"/>
                <w:sz w:val="20"/>
                <w:szCs w:val="20"/>
              </w:rPr>
              <w:t xml:space="preserve">Criterio de salida (gate para iniciar la fase siguiente)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Fase de horizonte abierto: el exito se mide por ingresos de plataforma/API, numero de desarrolladores activos y valor del ecosistema.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Resumen de las cinco fases</w:t>
      </w:r>
    </w:p>
    <w:tbl>
      <w:tblPr>
        <w:tblW w:type="dxa" w:w="9026"/>
        <w:tblBorders>
          <w:top w:val="single" w:color="C7D2DC" w:sz="1"/>
          <w:left w:val="single" w:color="C7D2DC" w:sz="1"/>
          <w:bottom w:val="single" w:color="C7D2DC" w:sz="1"/>
          <w:right w:val="single" w:color="C7D2DC" w:sz="1"/>
          <w:insideH w:val="single" w:color="C7D2DC" w:sz="1"/>
          <w:insideV w:val="single" w:color="C7D2DC" w:sz="1"/>
        </w:tblBorders>
      </w:tblPr>
      <w:tblGrid>
        <w:gridCol w:w="1500"/>
        <w:gridCol w:w="1900"/>
        <w:gridCol w:w="3026"/>
        <w:gridCol w:w="2600"/>
      </w:tblGrid>
      <w:tr>
        <w:trPr>
          <w:tblHeader/>
        </w:trPr>
        <w:tc>
          <w:tcPr>
            <w:tcW w:type="dxa" w:w="1500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900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026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principal</w:t>
            </w:r>
          </w:p>
        </w:tc>
        <w:tc>
          <w:tcPr>
            <w:tcW w:type="dxa" w:w="2600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Madurez / KPI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0 · Cimentar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Interno + preparar wedge</w:t>
            </w:r>
          </w:p>
        </w:tc>
        <w:tc>
          <w:tcPr>
            <w:tcW w:type="dxa" w:w="3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Nucleo v1.0 endurecido + baseline ROI + PRD/LOIs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N1-&gt;N2 · cobertura golden, horas ahorradas</w:t>
            </w:r>
          </w:p>
        </w:tc>
      </w:tr>
      <w:tr>
        <w:tc>
          <w:tcPr>
            <w:tcW w:type="dxa" w:w="15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1 · Validar</w:t>
            </w:r>
          </w:p>
        </w:tc>
        <w:tc>
          <w:tcPr>
            <w:tcW w:type="dxa" w:w="19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Wedge MVP + CI/CD</w:t>
            </w:r>
          </w:p>
        </w:tc>
        <w:tc>
          <w:tcPr>
            <w:tcW w:type="dxa" w:w="3026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Wedge 1.0 con 5-10 pilotos pagados</w:t>
            </w:r>
          </w:p>
        </w:tc>
        <w:tc>
          <w:tcPr>
            <w:tcW w:type="dxa" w:w="26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N3 · clientes, MRR, coste de inferencia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2 · Productizar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Spin-off + copiloto</w:t>
            </w:r>
          </w:p>
        </w:tc>
        <w:tc>
          <w:tcPr>
            <w:tcW w:type="dxa" w:w="3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Copiloto 1.0 + certificacion numerica trazable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N4 · ARR 0,5-1 M, churn, margen</w:t>
            </w:r>
          </w:p>
        </w:tc>
      </w:tr>
      <w:tr>
        <w:tc>
          <w:tcPr>
            <w:tcW w:type="dxa" w:w="15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3 · Escalar</w:t>
            </w:r>
          </w:p>
        </w:tc>
        <w:tc>
          <w:tcPr>
            <w:tcW w:type="dxa" w:w="19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Canal + integraciones</w:t>
            </w:r>
          </w:p>
        </w:tc>
        <w:tc>
          <w:tcPr>
            <w:tcW w:type="dxa" w:w="3026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Plataforma con integraciones + canal + &gt;=2 mercados</w:t>
            </w:r>
          </w:p>
        </w:tc>
        <w:tc>
          <w:tcPr>
            <w:tcW w:type="dxa" w:w="26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N5 (inicio) · ARR 2-3 M, NRR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18"/>
                <w:szCs w:val="18"/>
              </w:rPr>
              <w:t xml:space="preserve">4 · Plataforma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Ecosistema + API</w:t>
            </w:r>
          </w:p>
        </w:tc>
        <w:tc>
          <w:tcPr>
            <w:tcW w:type="dxa" w:w="3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Marketplace + API del nucleo + certificacion de terceros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N5 · ingresos de plataforma, devs activos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Secuencia critica y dependencias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orden no es arbitrario: cada fase desbloquea la siguiente porque entrega el activo que esta necesita.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Casos golden antes que producto: </w:t>
      </w:r>
      <w:r>
        <w:rPr>
          <w:rFonts w:ascii="Calibri" w:cs="Calibri" w:eastAsia="Calibri" w:hAnsi="Calibri"/>
        </w:rPr>
        <w:t xml:space="preserve">sin la suite de regresion de la Fase 0, el wedge de la Fase 1 no tendria como garantizar calidad ni controlar regresiones.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CI/CD antes que certificacion: </w:t>
      </w:r>
      <w:r>
        <w:rPr>
          <w:rFonts w:ascii="Calibri" w:cs="Calibri" w:eastAsia="Calibri" w:hAnsi="Calibri"/>
        </w:rPr>
        <w:t xml:space="preserve">la trazabilidad codigo&lt;-&gt;norma&lt;-&gt;resultado de la Fase 2 se apoya en el pipeline integrado de la Fase 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Certificacion antes que upsell de calculo: </w:t>
      </w:r>
      <w:r>
        <w:rPr>
          <w:rFonts w:ascii="Calibri" w:cs="Calibri" w:eastAsia="Calibri" w:hAnsi="Calibri"/>
        </w:rPr>
        <w:t xml:space="preserve">el copiloto de estructuras no se comercializa hasta que la certificacion numerica trazable cubre la responsabilidad del firmante.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Plataforma estable antes que apertura a terceros: </w:t>
      </w:r>
      <w:r>
        <w:rPr>
          <w:rFonts w:ascii="Calibri" w:cs="Calibri" w:eastAsia="Calibri" w:hAnsi="Calibri"/>
        </w:rPr>
        <w:t xml:space="preserve">el marketplace de la Fase 4 exige el gobierno y la observabilidad (N5) que se implantan en la Fase 3.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Gobierno, riesgos y factores de exito</w:t>
      </w:r>
    </w:p>
    <w:tbl>
      <w:tblPr>
        <w:tblW w:type="dxa" w:w="9026"/>
        <w:tblBorders>
          <w:top w:val="single" w:color="C7D2DC" w:sz="1"/>
          <w:left w:val="single" w:color="C7D2DC" w:sz="1"/>
          <w:bottom w:val="single" w:color="C7D2DC" w:sz="1"/>
          <w:right w:val="single" w:color="C7D2DC" w:sz="1"/>
          <w:insideH w:val="single" w:color="C7D2DC" w:sz="1"/>
          <w:insideV w:val="single" w:color="C7D2DC" w:sz="1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5826"/>
            <w:shd w:fill="1632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Responsabilidad por error de calculo</w:t>
            </w:r>
          </w:p>
        </w:tc>
        <w:tc>
          <w:tcPr>
            <w:tcW w:type="dxa" w:w="5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Posicion de copiloto + revision humana obligatoria + certificacion trazable y casos golden (la firma siempre es del ingeniero).</w:t>
            </w:r>
          </w:p>
        </w:tc>
      </w:tr>
      <w:tr>
        <w:tc>
          <w:tcPr>
            <w:tcW w:type="dxa" w:w="32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Desconfianza del ingeniero</w:t>
            </w:r>
          </w:p>
        </w:tc>
        <w:tc>
          <w:tcPr>
            <w:tcW w:type="dxa" w:w="5826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Validacion publica contra soluciones conocidas y transparencia del razonamiento; la QA como argumento de venta.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Dependencia del proveedor de IA</w:t>
            </w:r>
          </w:p>
        </w:tc>
        <w:tc>
          <w:tcPr>
            <w:tcW w:type="dxa" w:w="5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Abstraer el modelo, cachear el conocimiento normativo reutilizable y gobernar el coste de inferencia por proyecto.</w:t>
            </w:r>
          </w:p>
        </w:tc>
      </w:tr>
      <w:tr>
        <w:tc>
          <w:tcPr>
            <w:tcW w:type="dxa" w:w="32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Competencia de incumbentes (CYPE, Autodesk)</w:t>
            </w:r>
          </w:p>
        </w:tc>
        <w:tc>
          <w:tcPr>
            <w:tcW w:type="dxa" w:w="5826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No competir en el solver; diferenciar por la integracion calculo + BIM + norma + memoria.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Ciclo de venta lento del sector</w:t>
            </w:r>
          </w:p>
        </w:tc>
        <w:tc>
          <w:tcPr>
            <w:tcW w:type="dxa" w:w="5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Entrar por el wedge (dolor agudo y recurrente), apoyarse en el canal de colegios y usar servicios para generar caja temprana.</w:t>
            </w:r>
          </w:p>
        </w:tc>
      </w:tr>
      <w:tr>
        <w:tc>
          <w:tcPr>
            <w:tcW w:type="dxa" w:w="3200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Dispersion del equipo entre los dos tracks</w:t>
            </w:r>
          </w:p>
        </w:tc>
        <w:tc>
          <w:tcPr>
            <w:tcW w:type="dxa" w:w="5826"/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8"/>
                <w:szCs w:val="18"/>
              </w:rPr>
              <w:t xml:space="preserve">Hitos y entregables separados por track en cada fase; un unico backlog priorizado y gates compartidos.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Proximos pasos inmediatos (Fase 0)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decision estrategica ya esta tomada (planteamiento dual, ambos horizontes por etapas). El arranque consiste en comprometer la Fase 0 con alcance y metricas concretas: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1. Casos golden prioritarios: </w:t>
      </w:r>
      <w:r>
        <w:rPr>
          <w:rFonts w:ascii="Calibri" w:cs="Calibri" w:eastAsia="Calibri" w:hAnsi="Calibri"/>
        </w:rPr>
        <w:t xml:space="preserve">seleccionar los modulos criticos a blindar primero y formalizar su suite de regresion con el oraculo numerico de referencia.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2. Metricas de ROI interno: </w:t>
      </w:r>
      <w:r>
        <w:rPr>
          <w:rFonts w:ascii="Calibri" w:cs="Calibri" w:eastAsia="Calibri" w:hAnsi="Calibri"/>
        </w:rPr>
        <w:t xml:space="preserve">instrumentar la medicion de horas por entregable y retrabajo en 2-3 proyectos propios para fijar el baseline.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3. PRD del wedge: </w:t>
      </w:r>
      <w:r>
        <w:rPr>
          <w:rFonts w:ascii="Calibri" w:cs="Calibri" w:eastAsia="Calibri" w:hAnsi="Calibri"/>
        </w:rPr>
        <w:t xml:space="preserve">cerrar el alcance funcional de la capa BIM/cumplimiento y su frontera con el calculo.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4. Pilotos: </w:t>
      </w:r>
      <w:r>
        <w:rPr>
          <w:rFonts w:ascii="Calibri" w:cs="Calibri" w:eastAsia="Calibri" w:hAnsi="Calibri"/>
        </w:rPr>
        <w:t xml:space="preserve">identificar y contactar 3-5 despachos candidatos y firmar cartas de intencion.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16324F" w:sz="4"/>
          <w:left w:val="single" w:color="16324F" w:sz="12"/>
          <w:bottom w:val="single" w:color="16324F" w:sz="4"/>
          <w:right w:val="single" w:color="16324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0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La pregunta de decision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No es interno frente a externo, sino con que ritmo recorrer la escalera. </w:t>
            </w:r>
            <w:r>
              <w:rPr>
                <w:rFonts w:ascii="Calibri" w:cs="Calibri" w:eastAsia="Calibri" w:hAnsi="Calibri"/>
              </w:rPr>
              <w:t xml:space="preserve">El siguiente paso es aprobar el alcance y el presupuesto de la Fase 0 y asignar responsables a cada uno de los dos tracks.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7C"/>
        <w:sz w:val="16"/>
        <w:szCs w:val="16"/>
      </w:rPr>
      <w:t xml:space="preserve">Confidencial · uso interno    ·    </w:t>
    </w:r>
    <w:r>
      <w:rPr>
        <w:rFonts w:ascii="Calibri" w:cs="Calibri" w:eastAsia="Calibri" w:hAnsi="Calibri"/>
        <w:color w:val="5C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C" w:sz="4" w:space="4"/>
      </w:pBdr>
      <w:jc w:val="right"/>
    </w:pPr>
    <w:r>
      <w:rPr>
        <w:rFonts w:ascii="Calibri" w:cs="Calibri" w:eastAsia="Calibri" w:hAnsi="Calibri"/>
        <w:color w:val="5C6B7C"/>
        <w:sz w:val="16"/>
        <w:szCs w:val="16"/>
      </w:rPr>
      <w:t xml:space="preserve">Estructurando · Roadmap de industrializacion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632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6E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B5670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de industrializacion del ecosistema</dc:title>
  <dc:creator>Estructurando</dc:creator>
  <cp:lastModifiedBy>Un-named</cp:lastModifiedBy>
  <cp:revision>1</cp:revision>
  <dcterms:created xsi:type="dcterms:W3CDTF">2026-06-23T15:33:09.199Z</dcterms:created>
  <dcterms:modified xsi:type="dcterms:W3CDTF">2026-06-23T15:33:09.199Z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