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pBdr>
          <w:bottom w:val="single" w:sz="12" w:space="4" w:color="1F4E79"/>
        </w:pBdr>
      </w:pPr>
      <w:r>
        <w:rPr>
          <w:b/>
          <w:color w:val="1F4E79"/>
          <w:sz w:val="60"/>
        </w:rPr>
        <w:t>MEMORIA DE CÁLCULO</w:t>
      </w:r>
    </w:p>
    <w:p>
      <w:r>
        <w:rPr>
          <w:color w:val="595959"/>
          <w:sz w:val="32"/>
        </w:rPr>
        <w:t>Depósito enterrado de hormigón armado — Decopak (Rubí, Barcelona)</w:t>
      </w:r>
    </w:p>
    <w:p>
      <w:pPr>
        <w:spacing w:before="120" w:after="120"/>
        <w:jc w:val="left"/>
      </w:pPr>
      <w:r>
        <w:rPr>
          <w:b/>
          <w:color w:val="1F4E79"/>
          <w:sz w:val="26"/>
        </w:rPr>
        <w:t xml:space="preserve">VEREDICTO GLOBAL:  </w:t>
      </w:r>
      <w:r>
        <w:rPr>
          <w:b/>
          <w:color w:val="2E7D32"/>
          <w:sz w:val="26"/>
        </w:rPr>
        <w:t>FAVORABLE CON CONDICIONES — aprov. máx. 0,82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551"/>
          </w:tcPr>
          <w:p>
            <w:r>
              <w:rPr>
                <w:b/>
              </w:rPr>
              <w:t>Proyecto</w:t>
            </w:r>
          </w:p>
        </w:tc>
        <w:tc>
          <w:tcPr>
            <w:tcW w:type="dxa" w:w="6520"/>
          </w:tcPr>
          <w:p>
            <w:r>
              <w:t>Edificio industrial Decopak · Depósito enterrado</w:t>
            </w:r>
          </w:p>
        </w:tc>
      </w:tr>
      <w:tr>
        <w:tc>
          <w:tcPr>
            <w:tcW w:type="dxa" w:w="2551"/>
          </w:tcPr>
          <w:p>
            <w:r>
              <w:rPr>
                <w:b/>
              </w:rPr>
              <w:t>Disciplina / elemento</w:t>
            </w:r>
          </w:p>
        </w:tc>
        <w:tc>
          <w:tcPr>
            <w:tcW w:type="dxa" w:w="6520"/>
          </w:tcPr>
          <w:p>
            <w:r>
              <w:t>Estructuras · cajón estanco de HA (muros, losas, cimentación)</w:t>
            </w:r>
          </w:p>
        </w:tc>
      </w:tr>
      <w:tr>
        <w:tc>
          <w:tcPr>
            <w:tcW w:type="dxa" w:w="2551"/>
          </w:tcPr>
          <w:p>
            <w:r>
              <w:rPr>
                <w:b/>
              </w:rPr>
              <w:t>Modelo de partida</w:t>
            </w:r>
          </w:p>
        </w:tc>
        <w:tc>
          <w:tcPr>
            <w:tcW w:type="dxa" w:w="6520"/>
          </w:tcPr>
          <w:p>
            <w:r>
              <w:t>DepositoDecopakEnterrado.ifc (IFC2X3, Revit 2026)</w:t>
            </w:r>
          </w:p>
        </w:tc>
      </w:tr>
      <w:tr>
        <w:tc>
          <w:tcPr>
            <w:tcW w:type="dxa" w:w="2551"/>
          </w:tcPr>
          <w:p>
            <w:r>
              <w:rPr>
                <w:b/>
              </w:rPr>
              <w:t>Autor / firmante</w:t>
            </w:r>
          </w:p>
        </w:tc>
        <w:tc>
          <w:tcPr>
            <w:tcW w:type="dxa" w:w="6520"/>
          </w:tcPr>
          <w:p>
            <w:r>
              <w:t>JM — Ing. de Caminos (ICCP) · Col. [____]</w:t>
            </w:r>
          </w:p>
        </w:tc>
      </w:tr>
      <w:tr>
        <w:tc>
          <w:tcPr>
            <w:tcW w:type="dxa" w:w="2551"/>
          </w:tcPr>
          <w:p>
            <w:r>
              <w:rPr>
                <w:b/>
              </w:rPr>
              <w:t>Producción / verificación</w:t>
            </w:r>
          </w:p>
        </w:tc>
        <w:tc>
          <w:tcPr>
            <w:tcW w:type="dxa" w:w="6520"/>
          </w:tcPr>
          <w:p>
            <w:r>
              <w:t>Cálculo asistido (build) + QA independiente (run separado)</w:t>
            </w:r>
          </w:p>
        </w:tc>
      </w:tr>
      <w:tr>
        <w:tc>
          <w:tcPr>
            <w:tcW w:type="dxa" w:w="2551"/>
          </w:tcPr>
          <w:p>
            <w:r>
              <w:rPr>
                <w:b/>
              </w:rPr>
              <w:t>Fecha / Revisión</w:t>
            </w:r>
          </w:p>
        </w:tc>
        <w:tc>
          <w:tcPr>
            <w:tcW w:type="dxa" w:w="6520"/>
          </w:tcPr>
          <w:p>
            <w:r>
              <w:t>24/06/2026 · Rev. 00 — PROPUESTA pendiente de firma</w:t>
            </w:r>
          </w:p>
        </w:tc>
      </w:tr>
    </w:tbl>
    <w:p/>
    <w:p/>
    <w:p>
      <w:pPr>
        <w:pBdr>
          <w:bottom w:val="single" w:sz="8" w:space="4" w:color="B00000"/>
        </w:pBdr>
      </w:pPr>
      <w:r>
        <w:rPr>
          <w:i/>
          <w:color w:val="B00000"/>
          <w:sz w:val="19"/>
        </w:rPr>
        <w:t>Documento de PREDIMENSIONADO / ASISTENCIA AL CALCULO. Debe ser revisado y firmado por tecnico competente antes de su uso. Parametros sujetos al Anejo Nacional marcados [confirmar AN].</w:t>
      </w:r>
    </w:p>
    <w:p>
      <w:r>
        <w:br w:type="page"/>
      </w:r>
    </w:p>
    <w:p>
      <w:pPr>
        <w:pStyle w:val="Heading1"/>
      </w:pPr>
      <w:r>
        <w:t>Indice</w:t>
      </w:r>
    </w:p>
    <w:p>
      <w:r>
        <w:fldChar w:fldCharType="begin"/>
        <w:instrText xml:space="preserve">TOC \o "1-3" \h \z \u</w:instrText>
        <w:fldChar w:fldCharType="separate"/>
        <w:t>-</w:t>
        <w:fldChar w:fldCharType="end"/>
      </w:r>
    </w:p>
    <w:p>
      <w:r>
        <w:br w:type="page"/>
      </w:r>
    </w:p>
    <w:p>
      <w:pPr>
        <w:pStyle w:val="Heading1"/>
      </w:pPr>
      <w:r>
        <w:t>1. Objeto y alcance</w:t>
      </w:r>
    </w:p>
    <w:p>
      <w:r>
        <w:t>Se justifica el predimensionado estructural del depósito enterrado de hormigón armado de Decopak (Rubí), a partir del modelo físico IFC, según los Eurocódigos con Anejo Nacional español y la EN 1992-3 (estructuras de contención de líquidos). El alcance abarca los muros perimetrales e interior de 50 cm, la losa de fondo (cimentación tipo raft), la losa de cubierta transitable y las comprobaciones globales de flotación y estanqueidad. Quedan fuera el dimensionado de detalle de armado, juntas y proceso constructivo.</w:t>
      </w:r>
    </w:p>
    <w:p>
      <w:r>
        <w:t>Documento de PREDIMENSIONADO / ASISTENCIA AL CÁLCULO, preparado para su revisión y firma por técnico competente. La verificación numérica la ha realizado un agente de QA independiente, en ejecución separada y con oráculo propio (informe en anexo). La certificación requiere las dos llaves: golden verde + informe de QA limpio + firma de JM.</w:t>
      </w:r>
    </w:p>
    <w:p>
      <w:pPr>
        <w:pStyle w:val="Heading1"/>
      </w:pPr>
      <w:r>
        <w:t>2. Normativa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bottom w:val="single" w:sz="4" w:space="0" w:color="BFBFBF"/>
          <w:insideH w:val="single" w:sz="4" w:space="0" w:color="BFBFBF"/>
          <w:left w:val="nil" w:sz="0" w:space="0" w:color="auto"/>
          <w:right w:val="nil" w:sz="0" w:space="0" w:color="auto"/>
          <w:insideV w:val="nil" w:sz="0" w:space="0" w:color="auto"/>
        </w:tblBorders>
      </w:tblPr>
      <w:tblGrid>
        <w:gridCol w:w="4536"/>
        <w:gridCol w:w="4536"/>
      </w:tblGrid>
      <w:tr>
        <w:trPr>
          <w:tblHeader w:val="true"/>
          <w:cantSplit w:val="true"/>
        </w:trPr>
        <w:tc>
          <w:tcPr>
            <w:tcW w:type="dxa" w:w="4536"/>
            <w:tcBorders>
              <w:left w:val="single" w:sz="4" w:space="0" w:color="9CB7D4"/>
              <w:right w:val="single" w:sz="4" w:space="0" w:color="9CB7D4"/>
            </w:tcBorders>
            <w:shd w:val="clear" w:fill="D9E2F3"/>
          </w:tcPr>
          <w:p>
            <w:r>
              <w:rPr>
                <w:rFonts w:ascii="Arial" w:hAnsi="Arial"/>
                <w:b/>
                <w:sz w:val="19"/>
              </w:rPr>
              <w:t>Documento</w:t>
            </w:r>
          </w:p>
        </w:tc>
        <w:tc>
          <w:tcPr>
            <w:tcW w:type="dxa" w:w="4536"/>
            <w:tcBorders>
              <w:left w:val="single" w:sz="4" w:space="0" w:color="9CB7D4"/>
              <w:right w:val="single" w:sz="4" w:space="0" w:color="9CB7D4"/>
            </w:tcBorders>
            <w:shd w:val="clear" w:fill="D9E2F3"/>
          </w:tcPr>
          <w:p>
            <w:r>
              <w:rPr>
                <w:rFonts w:ascii="Arial" w:hAnsi="Arial"/>
                <w:b/>
                <w:sz w:val="19"/>
              </w:rPr>
              <w:t>Aplicación</w:t>
            </w:r>
          </w:p>
        </w:tc>
      </w:tr>
      <w:tr>
        <w:tc>
          <w:tcPr>
            <w:tcW w:type="dxa" w:w="4536"/>
          </w:tcPr>
          <w:p>
            <w:r>
              <w:rPr>
                <w:rFonts w:ascii="Arial" w:hAnsi="Arial"/>
                <w:b w:val="0"/>
                <w:sz w:val="19"/>
              </w:rPr>
              <w:t>UNE-EN 1990 (EC0) + AN</w:t>
            </w:r>
          </w:p>
        </w:tc>
        <w:tc>
          <w:tcPr>
            <w:tcW w:type="dxa" w:w="4536"/>
          </w:tcPr>
          <w:p>
            <w:r>
              <w:rPr>
                <w:rFonts w:ascii="Arial" w:hAnsi="Arial"/>
                <w:b w:val="0"/>
                <w:sz w:val="19"/>
              </w:rPr>
              <w:t>Bases de cálculo y combinaciones (ELU/ELS)</w:t>
            </w:r>
          </w:p>
        </w:tc>
      </w:tr>
      <w:tr>
        <w:tc>
          <w:tcPr>
            <w:tcW w:type="dxa" w:w="4536"/>
          </w:tcPr>
          <w:p>
            <w:r>
              <w:rPr>
                <w:rFonts w:ascii="Arial" w:hAnsi="Arial"/>
                <w:b w:val="0"/>
                <w:sz w:val="19"/>
              </w:rPr>
              <w:t>UNE-EN 1991 (EC1) + AN</w:t>
            </w:r>
          </w:p>
        </w:tc>
        <w:tc>
          <w:tcPr>
            <w:tcW w:type="dxa" w:w="4536"/>
          </w:tcPr>
          <w:p>
            <w:r>
              <w:rPr>
                <w:rFonts w:ascii="Arial" w:hAnsi="Arial"/>
                <w:b w:val="0"/>
                <w:sz w:val="19"/>
              </w:rPr>
              <w:t>Acciones: peso propio, empujes, sobrecargas, térmicas</w:t>
            </w:r>
          </w:p>
        </w:tc>
      </w:tr>
      <w:tr>
        <w:tc>
          <w:tcPr>
            <w:tcW w:type="dxa" w:w="4536"/>
          </w:tcPr>
          <w:p>
            <w:r>
              <w:rPr>
                <w:rFonts w:ascii="Arial" w:hAnsi="Arial"/>
                <w:b w:val="0"/>
                <w:sz w:val="19"/>
              </w:rPr>
              <w:t>UNE-EN 1992-1-1 (EC2) + AN</w:t>
            </w:r>
          </w:p>
        </w:tc>
        <w:tc>
          <w:tcPr>
            <w:tcW w:type="dxa" w:w="4536"/>
          </w:tcPr>
          <w:p>
            <w:r>
              <w:rPr>
                <w:rFonts w:ascii="Arial" w:hAnsi="Arial"/>
                <w:b w:val="0"/>
                <w:sz w:val="19"/>
              </w:rPr>
              <w:t>Hormigón armado: flexión, cortante, punzonamiento, fisuración</w:t>
            </w:r>
          </w:p>
        </w:tc>
      </w:tr>
      <w:tr>
        <w:tc>
          <w:tcPr>
            <w:tcW w:type="dxa" w:w="4536"/>
          </w:tcPr>
          <w:p>
            <w:r>
              <w:rPr>
                <w:rFonts w:ascii="Arial" w:hAnsi="Arial"/>
                <w:b w:val="0"/>
                <w:sz w:val="19"/>
              </w:rPr>
              <w:t>UNE-EN 1992-3</w:t>
            </w:r>
          </w:p>
        </w:tc>
        <w:tc>
          <w:tcPr>
            <w:tcW w:type="dxa" w:w="4536"/>
          </w:tcPr>
          <w:p>
            <w:r>
              <w:rPr>
                <w:rFonts w:ascii="Arial" w:hAnsi="Arial"/>
                <w:b w:val="0"/>
                <w:sz w:val="19"/>
              </w:rPr>
              <w:t>Depósitos y estructuras de contención de líquidos (estanqueidad)</w:t>
            </w:r>
          </w:p>
        </w:tc>
      </w:tr>
      <w:tr>
        <w:tc>
          <w:tcPr>
            <w:tcW w:type="dxa" w:w="4536"/>
          </w:tcPr>
          <w:p>
            <w:r>
              <w:rPr>
                <w:rFonts w:ascii="Arial" w:hAnsi="Arial"/>
                <w:b w:val="0"/>
                <w:sz w:val="19"/>
              </w:rPr>
              <w:t>UNE-EN 1997 (EC7) + AN</w:t>
            </w:r>
          </w:p>
        </w:tc>
        <w:tc>
          <w:tcPr>
            <w:tcW w:type="dxa" w:w="4536"/>
          </w:tcPr>
          <w:p>
            <w:r>
              <w:rPr>
                <w:rFonts w:ascii="Arial" w:hAnsi="Arial"/>
                <w:b w:val="0"/>
                <w:sz w:val="19"/>
              </w:rPr>
              <w:t>Empuje de tierras, capacidad portante, flotación (UPL)</w:t>
            </w:r>
          </w:p>
        </w:tc>
      </w:tr>
      <w:tr>
        <w:tc>
          <w:tcPr>
            <w:tcW w:type="dxa" w:w="4536"/>
          </w:tcPr>
          <w:p>
            <w:r>
              <w:rPr>
                <w:rFonts w:ascii="Arial" w:hAnsi="Arial"/>
                <w:b w:val="0"/>
                <w:sz w:val="19"/>
              </w:rPr>
              <w:t>IAP-11</w:t>
            </w:r>
          </w:p>
        </w:tc>
        <w:tc>
          <w:tcPr>
            <w:tcW w:type="dxa" w:w="4536"/>
          </w:tcPr>
          <w:p>
            <w:r>
              <w:rPr>
                <w:rFonts w:ascii="Arial" w:hAnsi="Arial"/>
                <w:b w:val="0"/>
                <w:sz w:val="19"/>
              </w:rPr>
              <w:t>Sobrecarga de tráfico en la losa de cubierta (LM1)</w:t>
            </w:r>
          </w:p>
        </w:tc>
      </w:tr>
      <w:tr>
        <w:tc>
          <w:tcPr>
            <w:tcW w:type="dxa" w:w="4536"/>
          </w:tcPr>
          <w:p>
            <w:r>
              <w:rPr>
                <w:rFonts w:ascii="Arial" w:hAnsi="Arial"/>
                <w:b w:val="0"/>
                <w:sz w:val="19"/>
              </w:rPr>
              <w:t>UNE-EN 1998 (EC8) / NCSE</w:t>
            </w:r>
          </w:p>
        </w:tc>
        <w:tc>
          <w:tcPr>
            <w:tcW w:type="dxa" w:w="4536"/>
          </w:tcPr>
          <w:p>
            <w:r>
              <w:rPr>
                <w:rFonts w:ascii="Arial" w:hAnsi="Arial"/>
                <w:b w:val="0"/>
                <w:sz w:val="19"/>
              </w:rPr>
              <w:t>Acción sísmica (ac = 0,046 g) — [PENDIENTE de cuantificar]</w:t>
            </w:r>
          </w:p>
        </w:tc>
      </w:tr>
    </w:tbl>
    <w:p>
      <w:pPr>
        <w:jc w:val="left"/>
      </w:pPr>
      <w:r>
        <w:rPr>
          <w:i/>
          <w:color w:val="595959"/>
          <w:sz w:val="19"/>
        </w:rPr>
        <w:t>Tabla 1. Marco normativo aplicado.</w:t>
      </w:r>
    </w:p>
    <w:p>
      <w:pPr>
        <w:pStyle w:val="Heading1"/>
      </w:pPr>
      <w:r>
        <w:t>3. Datos de partida</w:t>
      </w:r>
    </w:p>
    <w:p>
      <w:pPr>
        <w:pStyle w:val="Heading2"/>
      </w:pPr>
      <w:r>
        <w:t>3.1 Geometría (extraída del IFC)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bottom w:val="single" w:sz="4" w:space="0" w:color="BFBFBF"/>
          <w:insideH w:val="single" w:sz="4" w:space="0" w:color="BFBFBF"/>
          <w:left w:val="nil" w:sz="0" w:space="0" w:color="auto"/>
          <w:right w:val="nil" w:sz="0" w:space="0" w:color="auto"/>
          <w:insideV w:val="nil" w:sz="0" w:space="0" w:color="auto"/>
        </w:tblBorders>
      </w:tblPr>
      <w:tblGrid>
        <w:gridCol w:w="2268"/>
        <w:gridCol w:w="2268"/>
        <w:gridCol w:w="2268"/>
        <w:gridCol w:w="2268"/>
      </w:tblGrid>
      <w:tr>
        <w:trPr>
          <w:tblHeader w:val="true"/>
          <w:cantSplit w:val="true"/>
        </w:trPr>
        <w:tc>
          <w:tcPr>
            <w:tcW w:type="dxa" w:w="2268"/>
            <w:tcBorders>
              <w:left w:val="single" w:sz="4" w:space="0" w:color="9CB7D4"/>
              <w:right w:val="single" w:sz="4" w:space="0" w:color="9CB7D4"/>
            </w:tcBorders>
            <w:shd w:val="clear" w:fill="D9E2F3"/>
          </w:tcPr>
          <w:p>
            <w:r>
              <w:rPr>
                <w:rFonts w:ascii="Arial" w:hAnsi="Arial"/>
                <w:b/>
                <w:sz w:val="19"/>
              </w:rPr>
              <w:t>Elemento</w:t>
            </w:r>
          </w:p>
        </w:tc>
        <w:tc>
          <w:tcPr>
            <w:tcW w:type="dxa" w:w="2268"/>
            <w:tcBorders>
              <w:left w:val="single" w:sz="4" w:space="0" w:color="9CB7D4"/>
              <w:right w:val="single" w:sz="4" w:space="0" w:color="9CB7D4"/>
            </w:tcBorders>
            <w:shd w:val="clear" w:fill="D9E2F3"/>
          </w:tcPr>
          <w:p>
            <w:r>
              <w:rPr>
                <w:rFonts w:ascii="Arial" w:hAnsi="Arial"/>
                <w:b/>
                <w:sz w:val="19"/>
              </w:rPr>
              <w:t>Espesor</w:t>
            </w:r>
          </w:p>
        </w:tc>
        <w:tc>
          <w:tcPr>
            <w:tcW w:type="dxa" w:w="2268"/>
            <w:tcBorders>
              <w:left w:val="single" w:sz="4" w:space="0" w:color="9CB7D4"/>
              <w:right w:val="single" w:sz="4" w:space="0" w:color="9CB7D4"/>
            </w:tcBorders>
            <w:shd w:val="clear" w:fill="D9E2F3"/>
          </w:tcPr>
          <w:p>
            <w:r>
              <w:rPr>
                <w:rFonts w:ascii="Arial" w:hAnsi="Arial"/>
                <w:b/>
                <w:sz w:val="19"/>
              </w:rPr>
              <w:t>Dimensión principal</w:t>
            </w:r>
          </w:p>
        </w:tc>
        <w:tc>
          <w:tcPr>
            <w:tcW w:type="dxa" w:w="2268"/>
            <w:tcBorders>
              <w:left w:val="single" w:sz="4" w:space="0" w:color="9CB7D4"/>
              <w:right w:val="single" w:sz="4" w:space="0" w:color="9CB7D4"/>
            </w:tcBorders>
            <w:shd w:val="clear" w:fill="D9E2F3"/>
          </w:tcPr>
          <w:p>
            <w:r>
              <w:rPr>
                <w:rFonts w:ascii="Arial" w:hAnsi="Arial"/>
                <w:b/>
                <w:sz w:val="19"/>
              </w:rPr>
              <w:t>Cota Z (msnm)</w:t>
            </w:r>
          </w:p>
        </w:tc>
      </w:tr>
      <w:tr>
        <w:tc>
          <w:tcPr>
            <w:tcW w:type="dxa" w:w="2268"/>
          </w:tcPr>
          <w:p>
            <w:r>
              <w:rPr>
                <w:rFonts w:ascii="Arial" w:hAnsi="Arial"/>
                <w:b w:val="0"/>
                <w:sz w:val="19"/>
              </w:rPr>
              <w:t>Losa de fondo (raft)</w:t>
            </w:r>
          </w:p>
        </w:tc>
        <w:tc>
          <w:tcPr>
            <w:tcW w:type="dxa" w:w="2268"/>
          </w:tcPr>
          <w:p>
            <w:r>
              <w:rPr>
                <w:rFonts w:ascii="Arial" w:hAnsi="Arial"/>
                <w:b w:val="0"/>
                <w:sz w:val="19"/>
              </w:rPr>
              <w:t>0,60 m</w:t>
            </w:r>
          </w:p>
        </w:tc>
        <w:tc>
          <w:tcPr>
            <w:tcW w:type="dxa" w:w="2268"/>
          </w:tcPr>
          <w:p>
            <w:r>
              <w:rPr>
                <w:rFonts w:ascii="Arial" w:hAnsi="Arial"/>
                <w:b w:val="0"/>
                <w:sz w:val="19"/>
              </w:rPr>
              <w:t>A ≈ 302,8 m²</w:t>
            </w:r>
          </w:p>
        </w:tc>
        <w:tc>
          <w:tcPr>
            <w:tcW w:type="dxa" w:w="2268"/>
          </w:tcPr>
          <w:p>
            <w:r>
              <w:rPr>
                <w:rFonts w:ascii="Arial" w:hAnsi="Arial"/>
                <w:b w:val="0"/>
                <w:sz w:val="19"/>
              </w:rPr>
              <w:t>146,40 → 147,00</w:t>
            </w:r>
          </w:p>
        </w:tc>
      </w:tr>
      <w:tr>
        <w:tc>
          <w:tcPr>
            <w:tcW w:type="dxa" w:w="2268"/>
          </w:tcPr>
          <w:p>
            <w:r>
              <w:rPr>
                <w:rFonts w:ascii="Arial" w:hAnsi="Arial"/>
                <w:b w:val="0"/>
                <w:sz w:val="19"/>
              </w:rPr>
              <w:t>Muros perimetrales (×4)</w:t>
            </w:r>
          </w:p>
        </w:tc>
        <w:tc>
          <w:tcPr>
            <w:tcW w:type="dxa" w:w="2268"/>
          </w:tcPr>
          <w:p>
            <w:r>
              <w:rPr>
                <w:rFonts w:ascii="Arial" w:hAnsi="Arial"/>
                <w:b w:val="0"/>
                <w:sz w:val="19"/>
              </w:rPr>
              <w:t>0,50 m</w:t>
            </w:r>
          </w:p>
        </w:tc>
        <w:tc>
          <w:tcPr>
            <w:tcW w:type="dxa" w:w="2268"/>
          </w:tcPr>
          <w:p>
            <w:r>
              <w:rPr>
                <w:rFonts w:ascii="Arial" w:hAnsi="Arial"/>
                <w:b w:val="0"/>
                <w:sz w:val="19"/>
              </w:rPr>
              <w:t>2 largos ≈21,5 m · 2 testeros ≈10,5 m; h=4,35 m</w:t>
            </w:r>
          </w:p>
        </w:tc>
        <w:tc>
          <w:tcPr>
            <w:tcW w:type="dxa" w:w="2268"/>
          </w:tcPr>
          <w:p>
            <w:r>
              <w:rPr>
                <w:rFonts w:ascii="Arial" w:hAnsi="Arial"/>
                <w:b w:val="0"/>
                <w:sz w:val="19"/>
              </w:rPr>
              <w:t>147,00 → 151,35</w:t>
            </w:r>
          </w:p>
        </w:tc>
      </w:tr>
      <w:tr>
        <w:tc>
          <w:tcPr>
            <w:tcW w:type="dxa" w:w="2268"/>
          </w:tcPr>
          <w:p>
            <w:r>
              <w:rPr>
                <w:rFonts w:ascii="Arial" w:hAnsi="Arial"/>
                <w:b w:val="0"/>
                <w:sz w:val="19"/>
              </w:rPr>
              <w:t>Muro interior (compartim.)</w:t>
            </w:r>
          </w:p>
        </w:tc>
        <w:tc>
          <w:tcPr>
            <w:tcW w:type="dxa" w:w="2268"/>
          </w:tcPr>
          <w:p>
            <w:r>
              <w:rPr>
                <w:rFonts w:ascii="Arial" w:hAnsi="Arial"/>
                <w:b w:val="0"/>
                <w:sz w:val="19"/>
              </w:rPr>
              <w:t>0,50 m</w:t>
            </w:r>
          </w:p>
        </w:tc>
        <w:tc>
          <w:tcPr>
            <w:tcW w:type="dxa" w:w="2268"/>
          </w:tcPr>
          <w:p>
            <w:r>
              <w:rPr>
                <w:rFonts w:ascii="Arial" w:hAnsi="Arial"/>
                <w:b w:val="0"/>
                <w:sz w:val="19"/>
              </w:rPr>
              <w:t>L ≈ 10,4 m; h=4,35 m</w:t>
            </w:r>
          </w:p>
        </w:tc>
        <w:tc>
          <w:tcPr>
            <w:tcW w:type="dxa" w:w="2268"/>
          </w:tcPr>
          <w:p>
            <w:r>
              <w:rPr>
                <w:rFonts w:ascii="Arial" w:hAnsi="Arial"/>
                <w:b w:val="0"/>
                <w:sz w:val="19"/>
              </w:rPr>
              <w:t>147,00 → 151,35</w:t>
            </w:r>
          </w:p>
        </w:tc>
      </w:tr>
      <w:tr>
        <w:tc>
          <w:tcPr>
            <w:tcW w:type="dxa" w:w="2268"/>
          </w:tcPr>
          <w:p>
            <w:r>
              <w:rPr>
                <w:rFonts w:ascii="Arial" w:hAnsi="Arial"/>
                <w:b w:val="0"/>
                <w:sz w:val="19"/>
              </w:rPr>
              <w:t>Losa de cubierta</w:t>
            </w:r>
          </w:p>
        </w:tc>
        <w:tc>
          <w:tcPr>
            <w:tcW w:type="dxa" w:w="2268"/>
          </w:tcPr>
          <w:p>
            <w:r>
              <w:rPr>
                <w:rFonts w:ascii="Arial" w:hAnsi="Arial"/>
                <w:b w:val="0"/>
                <w:sz w:val="19"/>
              </w:rPr>
              <w:t>0,60 / 0,70 m</w:t>
            </w:r>
          </w:p>
        </w:tc>
        <w:tc>
          <w:tcPr>
            <w:tcW w:type="dxa" w:w="2268"/>
          </w:tcPr>
          <w:p>
            <w:r>
              <w:rPr>
                <w:rFonts w:ascii="Arial" w:hAnsi="Arial"/>
                <w:b w:val="0"/>
                <w:sz w:val="19"/>
              </w:rPr>
              <w:t>luz c/c muros largos = 11,37 m</w:t>
            </w:r>
          </w:p>
        </w:tc>
        <w:tc>
          <w:tcPr>
            <w:tcW w:type="dxa" w:w="2268"/>
          </w:tcPr>
          <w:p>
            <w:r>
              <w:rPr>
                <w:rFonts w:ascii="Arial" w:hAnsi="Arial"/>
                <w:b w:val="0"/>
                <w:sz w:val="19"/>
              </w:rPr>
              <w:t>151,25 → 151,95</w:t>
            </w:r>
          </w:p>
        </w:tc>
      </w:tr>
      <w:tr>
        <w:tc>
          <w:tcPr>
            <w:tcW w:type="dxa" w:w="2268"/>
          </w:tcPr>
          <w:p>
            <w:r>
              <w:rPr>
                <w:rFonts w:ascii="Arial" w:hAnsi="Arial"/>
                <w:b w:val="0"/>
                <w:sz w:val="19"/>
              </w:rPr>
              <w:t>Muretes superiores (×2)</w:t>
            </w:r>
          </w:p>
        </w:tc>
        <w:tc>
          <w:tcPr>
            <w:tcW w:type="dxa" w:w="2268"/>
          </w:tcPr>
          <w:p>
            <w:r>
              <w:rPr>
                <w:rFonts w:ascii="Arial" w:hAnsi="Arial"/>
                <w:b w:val="0"/>
                <w:sz w:val="19"/>
              </w:rPr>
              <w:t>0,20 m</w:t>
            </w:r>
          </w:p>
        </w:tc>
        <w:tc>
          <w:tcPr>
            <w:tcW w:type="dxa" w:w="2268"/>
          </w:tcPr>
          <w:p>
            <w:r>
              <w:rPr>
                <w:rFonts w:ascii="Arial" w:hAnsi="Arial"/>
                <w:b w:val="0"/>
                <w:sz w:val="19"/>
              </w:rPr>
              <w:t>recrecido/peto h=0,70 y 0,10 m (no estructural princ.)</w:t>
            </w:r>
          </w:p>
        </w:tc>
        <w:tc>
          <w:tcPr>
            <w:tcW w:type="dxa" w:w="2268"/>
          </w:tcPr>
          <w:p>
            <w:r>
              <w:rPr>
                <w:rFonts w:ascii="Arial" w:hAnsi="Arial"/>
                <w:b w:val="0"/>
                <w:sz w:val="19"/>
              </w:rPr>
              <w:t>151,35 → 152,05</w:t>
            </w:r>
          </w:p>
        </w:tc>
      </w:tr>
    </w:tbl>
    <w:p>
      <w:pPr>
        <w:jc w:val="left"/>
      </w:pPr>
      <w:r>
        <w:rPr>
          <w:i/>
          <w:color w:val="595959"/>
          <w:sz w:val="19"/>
        </w:rPr>
        <w:t>Tabla 2. Inventario geométrico (parser ifcopenshell sobre IFC2X3).</w:t>
      </w:r>
    </w:p>
    <w:p>
      <w:r>
        <w:t>Hallazgo de validación: la compartimentación la realiza un muro de 50 cm (no los muretes de 20 cm, que son recrecidos superiores). El compartimento grande (≈18×10 m) es el que se considera lleno de agua.</w:t>
      </w:r>
    </w:p>
    <w:p>
      <w:pPr>
        <w:pStyle w:val="Heading2"/>
      </w:pPr>
      <w:r>
        <w:t>3.2 Materiales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bottom w:val="single" w:sz="4" w:space="0" w:color="BFBFBF"/>
          <w:insideH w:val="single" w:sz="4" w:space="0" w:color="BFBFBF"/>
          <w:left w:val="nil" w:sz="0" w:space="0" w:color="auto"/>
          <w:right w:val="nil" w:sz="0" w:space="0" w:color="auto"/>
          <w:insideV w:val="nil" w:sz="0" w:space="0" w:color="auto"/>
        </w:tblBorders>
      </w:tblPr>
      <w:tblGrid>
        <w:gridCol w:w="3024"/>
        <w:gridCol w:w="3024"/>
        <w:gridCol w:w="3024"/>
      </w:tblGrid>
      <w:tr>
        <w:trPr>
          <w:tblHeader w:val="true"/>
          <w:cantSplit w:val="true"/>
        </w:trPr>
        <w:tc>
          <w:tcPr>
            <w:tcW w:type="dxa" w:w="3024"/>
            <w:tcBorders>
              <w:left w:val="single" w:sz="4" w:space="0" w:color="9CB7D4"/>
              <w:right w:val="single" w:sz="4" w:space="0" w:color="9CB7D4"/>
            </w:tcBorders>
            <w:shd w:val="clear" w:fill="D9E2F3"/>
          </w:tcPr>
          <w:p>
            <w:r>
              <w:rPr>
                <w:rFonts w:ascii="Arial" w:hAnsi="Arial"/>
                <w:b/>
                <w:sz w:val="19"/>
              </w:rPr>
              <w:t>Material</w:t>
            </w:r>
          </w:p>
        </w:tc>
        <w:tc>
          <w:tcPr>
            <w:tcW w:type="dxa" w:w="3024"/>
            <w:tcBorders>
              <w:left w:val="single" w:sz="4" w:space="0" w:color="9CB7D4"/>
              <w:right w:val="single" w:sz="4" w:space="0" w:color="9CB7D4"/>
            </w:tcBorders>
            <w:shd w:val="clear" w:fill="D9E2F3"/>
          </w:tcPr>
          <w:p>
            <w:r>
              <w:rPr>
                <w:rFonts w:ascii="Arial" w:hAnsi="Arial"/>
                <w:b/>
                <w:sz w:val="19"/>
              </w:rPr>
              <w:t>Característica</w:t>
            </w:r>
          </w:p>
        </w:tc>
        <w:tc>
          <w:tcPr>
            <w:tcW w:type="dxa" w:w="3024"/>
            <w:tcBorders>
              <w:left w:val="single" w:sz="4" w:space="0" w:color="9CB7D4"/>
              <w:right w:val="single" w:sz="4" w:space="0" w:color="9CB7D4"/>
            </w:tcBorders>
            <w:shd w:val="clear" w:fill="D9E2F3"/>
          </w:tcPr>
          <w:p>
            <w:r>
              <w:rPr>
                <w:rFonts w:ascii="Arial" w:hAnsi="Arial"/>
                <w:b/>
                <w:sz w:val="19"/>
              </w:rPr>
              <w:t>Valor</w:t>
            </w:r>
          </w:p>
        </w:tc>
      </w:tr>
      <w:tr>
        <w:tc>
          <w:tcPr>
            <w:tcW w:type="dxa" w:w="3024"/>
          </w:tcPr>
          <w:p>
            <w:r>
              <w:rPr>
                <w:rFonts w:ascii="Arial" w:hAnsi="Arial"/>
                <w:b w:val="0"/>
                <w:sz w:val="19"/>
              </w:rPr>
              <w:t>Hormigón HA-30</w:t>
            </w:r>
          </w:p>
        </w:tc>
        <w:tc>
          <w:tcPr>
            <w:tcW w:type="dxa" w:w="3024"/>
          </w:tcPr>
          <w:p>
            <w:r>
              <w:rPr>
                <w:rFonts w:ascii="Arial" w:hAnsi="Arial"/>
                <w:b w:val="0"/>
                <w:sz w:val="19"/>
              </w:rPr>
              <w:t>f_ck / f_cd / f_ctm / E_cm</w:t>
            </w:r>
          </w:p>
        </w:tc>
        <w:tc>
          <w:tcPr>
            <w:tcW w:type="dxa" w:w="3024"/>
          </w:tcPr>
          <w:p>
            <w:r>
              <w:rPr>
                <w:rFonts w:ascii="Arial" w:hAnsi="Arial"/>
                <w:b w:val="0"/>
                <w:sz w:val="19"/>
              </w:rPr>
              <w:t>30 / 20,0 / 2,90 MPa / 32,8 GPa</w:t>
            </w:r>
          </w:p>
        </w:tc>
      </w:tr>
      <w:tr>
        <w:tc>
          <w:tcPr>
            <w:tcW w:type="dxa" w:w="3024"/>
          </w:tcPr>
          <w:p>
            <w:r>
              <w:rPr>
                <w:rFonts w:ascii="Arial" w:hAnsi="Arial"/>
                <w:b w:val="0"/>
                <w:sz w:val="19"/>
              </w:rPr>
              <w:t>Acero B500S</w:t>
            </w:r>
          </w:p>
        </w:tc>
        <w:tc>
          <w:tcPr>
            <w:tcW w:type="dxa" w:w="3024"/>
          </w:tcPr>
          <w:p>
            <w:r>
              <w:rPr>
                <w:rFonts w:ascii="Arial" w:hAnsi="Arial"/>
                <w:b w:val="0"/>
                <w:sz w:val="19"/>
              </w:rPr>
              <w:t>f_yk / f_yd</w:t>
            </w:r>
          </w:p>
        </w:tc>
        <w:tc>
          <w:tcPr>
            <w:tcW w:type="dxa" w:w="3024"/>
          </w:tcPr>
          <w:p>
            <w:r>
              <w:rPr>
                <w:rFonts w:ascii="Arial" w:hAnsi="Arial"/>
                <w:b w:val="0"/>
                <w:sz w:val="19"/>
              </w:rPr>
              <w:t>500 / 434,8 MPa</w:t>
            </w:r>
          </w:p>
        </w:tc>
      </w:tr>
      <w:tr>
        <w:tc>
          <w:tcPr>
            <w:tcW w:type="dxa" w:w="3024"/>
          </w:tcPr>
          <w:p>
            <w:r>
              <w:rPr>
                <w:rFonts w:ascii="Arial" w:hAnsi="Arial"/>
                <w:b w:val="0"/>
                <w:sz w:val="19"/>
              </w:rPr>
              <w:t>Recubrimiento</w:t>
            </w:r>
          </w:p>
        </w:tc>
        <w:tc>
          <w:tcPr>
            <w:tcW w:type="dxa" w:w="3024"/>
          </w:tcPr>
          <w:p>
            <w:r>
              <w:rPr>
                <w:rFonts w:ascii="Arial" w:hAnsi="Arial"/>
                <w:b w:val="0"/>
                <w:sz w:val="19"/>
              </w:rPr>
              <w:t>c_nom (caras agua/tierra)</w:t>
            </w:r>
          </w:p>
        </w:tc>
        <w:tc>
          <w:tcPr>
            <w:tcW w:type="dxa" w:w="3024"/>
          </w:tcPr>
          <w:p>
            <w:r>
              <w:rPr>
                <w:rFonts w:ascii="Arial" w:hAnsi="Arial"/>
                <w:b w:val="0"/>
                <w:sz w:val="19"/>
              </w:rPr>
              <w:t>45 mm</w:t>
            </w:r>
          </w:p>
        </w:tc>
      </w:tr>
      <w:tr>
        <w:tc>
          <w:tcPr>
            <w:tcW w:type="dxa" w:w="3024"/>
          </w:tcPr>
          <w:p>
            <w:r>
              <w:rPr>
                <w:rFonts w:ascii="Arial" w:hAnsi="Arial"/>
                <w:b w:val="0"/>
                <w:sz w:val="19"/>
              </w:rPr>
              <w:t>Estanqueidad EN 1992-3</w:t>
            </w:r>
          </w:p>
        </w:tc>
        <w:tc>
          <w:tcPr>
            <w:tcW w:type="dxa" w:w="3024"/>
          </w:tcPr>
          <w:p>
            <w:r>
              <w:rPr>
                <w:rFonts w:ascii="Arial" w:hAnsi="Arial"/>
                <w:b w:val="0"/>
                <w:sz w:val="19"/>
              </w:rPr>
              <w:t>Clase 1 → w_k,máx</w:t>
            </w:r>
          </w:p>
        </w:tc>
        <w:tc>
          <w:tcPr>
            <w:tcW w:type="dxa" w:w="3024"/>
          </w:tcPr>
          <w:p>
            <w:r>
              <w:rPr>
                <w:rFonts w:ascii="Arial" w:hAnsi="Arial"/>
                <w:b w:val="0"/>
                <w:sz w:val="19"/>
              </w:rPr>
              <w:t>0,20 mm</w:t>
            </w:r>
          </w:p>
        </w:tc>
      </w:tr>
    </w:tbl>
    <w:p>
      <w:pPr>
        <w:jc w:val="left"/>
      </w:pPr>
      <w:r>
        <w:rPr>
          <w:i/>
          <w:color w:val="595959"/>
          <w:sz w:val="19"/>
        </w:rPr>
        <w:t>Tabla 3. Materiales y durabilidad. [confirmar AN: grado de hormigón y clase de estanqueidad].</w:t>
      </w:r>
    </w:p>
    <w:p>
      <w:pPr>
        <w:pStyle w:val="Heading2"/>
      </w:pPr>
      <w:r>
        <w:t>3.3 Geotecnia (reutilizada del informe SOCOTEC — Decopak HQ)</w:t>
      </w:r>
    </w:p>
    <w:p>
      <w:r>
        <w:t>Apoyo en UG3 (arenisca de grano fino, roca blanda, estrato portante; PL &gt; 80 kg/cm²). Nivel freático documentado +142,6 a +144,6 msnm, por debajo de la base del depósito (+146,40). Sismo: ab = 0,04 g, ac = 0,046 g. [PENDIENTE: confirmar la cota de implantación y el freático en el punto del depósito — su base está 5,6 m por debajo de la de HQ].</w:t>
      </w:r>
    </w:p>
    <w:p>
      <w:pPr>
        <w:pStyle w:val="Heading1"/>
      </w:pPr>
      <w:r>
        <w:t>4. Hipótesis: acciones y combinaciones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bottom w:val="single" w:sz="4" w:space="0" w:color="BFBFBF"/>
          <w:insideH w:val="single" w:sz="4" w:space="0" w:color="BFBFBF"/>
          <w:left w:val="nil" w:sz="0" w:space="0" w:color="auto"/>
          <w:right w:val="nil" w:sz="0" w:space="0" w:color="auto"/>
          <w:insideV w:val="nil" w:sz="0" w:space="0" w:color="auto"/>
        </w:tblBorders>
      </w:tblPr>
      <w:tblGrid>
        <w:gridCol w:w="3024"/>
        <w:gridCol w:w="3024"/>
        <w:gridCol w:w="3024"/>
      </w:tblGrid>
      <w:tr>
        <w:trPr>
          <w:tblHeader w:val="true"/>
          <w:cantSplit w:val="true"/>
        </w:trPr>
        <w:tc>
          <w:tcPr>
            <w:tcW w:type="dxa" w:w="3024"/>
            <w:tcBorders>
              <w:left w:val="single" w:sz="4" w:space="0" w:color="9CB7D4"/>
              <w:right w:val="single" w:sz="4" w:space="0" w:color="9CB7D4"/>
            </w:tcBorders>
            <w:shd w:val="clear" w:fill="D9E2F3"/>
          </w:tcPr>
          <w:p>
            <w:r>
              <w:rPr>
                <w:rFonts w:ascii="Arial" w:hAnsi="Arial"/>
                <w:b/>
                <w:sz w:val="19"/>
              </w:rPr>
              <w:t>Acción</w:t>
            </w:r>
          </w:p>
        </w:tc>
        <w:tc>
          <w:tcPr>
            <w:tcW w:type="dxa" w:w="3024"/>
            <w:tcBorders>
              <w:left w:val="single" w:sz="4" w:space="0" w:color="9CB7D4"/>
              <w:right w:val="single" w:sz="4" w:space="0" w:color="9CB7D4"/>
            </w:tcBorders>
            <w:shd w:val="clear" w:fill="D9E2F3"/>
          </w:tcPr>
          <w:p>
            <w:r>
              <w:rPr>
                <w:rFonts w:ascii="Arial" w:hAnsi="Arial"/>
                <w:b/>
                <w:sz w:val="19"/>
              </w:rPr>
              <w:t>Valor característico</w:t>
            </w:r>
          </w:p>
        </w:tc>
        <w:tc>
          <w:tcPr>
            <w:tcW w:type="dxa" w:w="3024"/>
            <w:tcBorders>
              <w:left w:val="single" w:sz="4" w:space="0" w:color="9CB7D4"/>
              <w:right w:val="single" w:sz="4" w:space="0" w:color="9CB7D4"/>
            </w:tcBorders>
            <w:shd w:val="clear" w:fill="D9E2F3"/>
          </w:tcPr>
          <w:p>
            <w:r>
              <w:rPr>
                <w:rFonts w:ascii="Arial" w:hAnsi="Arial"/>
                <w:b/>
                <w:sz w:val="19"/>
              </w:rPr>
              <w:t>Cláusula / criterio</w:t>
            </w:r>
          </w:p>
        </w:tc>
      </w:tr>
      <w:tr>
        <w:tc>
          <w:tcPr>
            <w:tcW w:type="dxa" w:w="3024"/>
          </w:tcPr>
          <w:p>
            <w:r>
              <w:rPr>
                <w:rFonts w:ascii="Arial" w:hAnsi="Arial"/>
                <w:b w:val="0"/>
                <w:sz w:val="19"/>
              </w:rPr>
              <w:t>Peso propio (HA)</w:t>
            </w:r>
          </w:p>
        </w:tc>
        <w:tc>
          <w:tcPr>
            <w:tcW w:type="dxa" w:w="3024"/>
          </w:tcPr>
          <w:p>
            <w:r>
              <w:rPr>
                <w:rFonts w:ascii="Arial" w:hAnsi="Arial"/>
                <w:b w:val="0"/>
                <w:sz w:val="19"/>
              </w:rPr>
              <w:t>γ = 25 kN/m³</w:t>
            </w:r>
          </w:p>
        </w:tc>
        <w:tc>
          <w:tcPr>
            <w:tcW w:type="dxa" w:w="3024"/>
          </w:tcPr>
          <w:p>
            <w:r>
              <w:rPr>
                <w:rFonts w:ascii="Arial" w:hAnsi="Arial"/>
                <w:b w:val="0"/>
                <w:sz w:val="19"/>
              </w:rPr>
              <w:t>EC1-1-1</w:t>
            </w:r>
          </w:p>
        </w:tc>
      </w:tr>
      <w:tr>
        <w:tc>
          <w:tcPr>
            <w:tcW w:type="dxa" w:w="3024"/>
          </w:tcPr>
          <w:p>
            <w:r>
              <w:rPr>
                <w:rFonts w:ascii="Arial" w:hAnsi="Arial"/>
                <w:b w:val="0"/>
                <w:sz w:val="19"/>
              </w:rPr>
              <w:t>Agua (lleno)</w:t>
            </w:r>
          </w:p>
        </w:tc>
        <w:tc>
          <w:tcPr>
            <w:tcW w:type="dxa" w:w="3024"/>
          </w:tcPr>
          <w:p>
            <w:r>
              <w:rPr>
                <w:rFonts w:ascii="Arial" w:hAnsi="Arial"/>
                <w:b w:val="0"/>
                <w:sz w:val="19"/>
              </w:rPr>
              <w:t>γw = 10 kN/m³ · p_base = 43,5 kPa (h=4,35 m)</w:t>
            </w:r>
          </w:p>
        </w:tc>
        <w:tc>
          <w:tcPr>
            <w:tcW w:type="dxa" w:w="3024"/>
          </w:tcPr>
          <w:p>
            <w:r>
              <w:rPr>
                <w:rFonts w:ascii="Arial" w:hAnsi="Arial"/>
                <w:b w:val="0"/>
                <w:sz w:val="19"/>
              </w:rPr>
              <w:t>EN 1991-4</w:t>
            </w:r>
          </w:p>
        </w:tc>
      </w:tr>
      <w:tr>
        <w:tc>
          <w:tcPr>
            <w:tcW w:type="dxa" w:w="3024"/>
          </w:tcPr>
          <w:p>
            <w:r>
              <w:rPr>
                <w:rFonts w:ascii="Arial" w:hAnsi="Arial"/>
                <w:b w:val="0"/>
                <w:sz w:val="19"/>
              </w:rPr>
              <w:t>Empuje de tierras (reposo)</w:t>
            </w:r>
          </w:p>
        </w:tc>
        <w:tc>
          <w:tcPr>
            <w:tcW w:type="dxa" w:w="3024"/>
          </w:tcPr>
          <w:p>
            <w:r>
              <w:rPr>
                <w:rFonts w:ascii="Arial" w:hAnsi="Arial"/>
                <w:b w:val="0"/>
                <w:sz w:val="19"/>
              </w:rPr>
              <w:t>K₀ = 0,50 · p_base = 49,5 kPa</w:t>
            </w:r>
          </w:p>
        </w:tc>
        <w:tc>
          <w:tcPr>
            <w:tcW w:type="dxa" w:w="3024"/>
          </w:tcPr>
          <w:p>
            <w:r>
              <w:rPr>
                <w:rFonts w:ascii="Arial" w:hAnsi="Arial"/>
                <w:b w:val="0"/>
                <w:sz w:val="19"/>
              </w:rPr>
              <w:t>EC7</w:t>
            </w:r>
          </w:p>
        </w:tc>
      </w:tr>
      <w:tr>
        <w:tc>
          <w:tcPr>
            <w:tcW w:type="dxa" w:w="3024"/>
          </w:tcPr>
          <w:p>
            <w:r>
              <w:rPr>
                <w:rFonts w:ascii="Arial" w:hAnsi="Arial"/>
                <w:b w:val="0"/>
                <w:sz w:val="19"/>
              </w:rPr>
              <w:t>Sobrecarga en trasdós</w:t>
            </w:r>
          </w:p>
        </w:tc>
        <w:tc>
          <w:tcPr>
            <w:tcW w:type="dxa" w:w="3024"/>
          </w:tcPr>
          <w:p>
            <w:r>
              <w:rPr>
                <w:rFonts w:ascii="Arial" w:hAnsi="Arial"/>
                <w:b w:val="0"/>
                <w:sz w:val="19"/>
              </w:rPr>
              <w:t>q = 20 kPa → K₀·q = 10 kPa</w:t>
            </w:r>
          </w:p>
        </w:tc>
        <w:tc>
          <w:tcPr>
            <w:tcW w:type="dxa" w:w="3024"/>
          </w:tcPr>
          <w:p>
            <w:r>
              <w:rPr>
                <w:rFonts w:ascii="Arial" w:hAnsi="Arial"/>
                <w:b w:val="0"/>
                <w:sz w:val="19"/>
              </w:rPr>
              <w:t>EC7 (tráfico adyacente)</w:t>
            </w:r>
          </w:p>
        </w:tc>
      </w:tr>
      <w:tr>
        <w:tc>
          <w:tcPr>
            <w:tcW w:type="dxa" w:w="3024"/>
          </w:tcPr>
          <w:p>
            <w:r>
              <w:rPr>
                <w:rFonts w:ascii="Arial" w:hAnsi="Arial"/>
                <w:b w:val="0"/>
                <w:sz w:val="19"/>
              </w:rPr>
              <w:t>Tráfico cubierta IAP-11 LM1</w:t>
            </w:r>
          </w:p>
        </w:tc>
        <w:tc>
          <w:tcPr>
            <w:tcW w:type="dxa" w:w="3024"/>
          </w:tcPr>
          <w:p>
            <w:r>
              <w:rPr>
                <w:rFonts w:ascii="Arial" w:hAnsi="Arial"/>
                <w:b w:val="0"/>
                <w:sz w:val="19"/>
              </w:rPr>
              <w:t>tándem 2×300 kN + UDL 9 kN/m²</w:t>
            </w:r>
          </w:p>
        </w:tc>
        <w:tc>
          <w:tcPr>
            <w:tcW w:type="dxa" w:w="3024"/>
          </w:tcPr>
          <w:p>
            <w:r>
              <w:rPr>
                <w:rFonts w:ascii="Arial" w:hAnsi="Arial"/>
                <w:b w:val="0"/>
                <w:sz w:val="19"/>
              </w:rPr>
              <w:t>IAP-11 (decisión JM)</w:t>
            </w:r>
          </w:p>
        </w:tc>
      </w:tr>
      <w:tr>
        <w:tc>
          <w:tcPr>
            <w:tcW w:type="dxa" w:w="3024"/>
          </w:tcPr>
          <w:p>
            <w:r>
              <w:rPr>
                <w:rFonts w:ascii="Arial" w:hAnsi="Arial"/>
                <w:b w:val="0"/>
                <w:sz w:val="19"/>
              </w:rPr>
              <w:t>Sismo</w:t>
            </w:r>
          </w:p>
        </w:tc>
        <w:tc>
          <w:tcPr>
            <w:tcW w:type="dxa" w:w="3024"/>
          </w:tcPr>
          <w:p>
            <w:r>
              <w:rPr>
                <w:rFonts w:ascii="Arial" w:hAnsi="Arial"/>
                <w:b w:val="0"/>
                <w:sz w:val="19"/>
              </w:rPr>
              <w:t>ac = 0,046 g</w:t>
            </w:r>
          </w:p>
        </w:tc>
        <w:tc>
          <w:tcPr>
            <w:tcW w:type="dxa" w:w="3024"/>
          </w:tcPr>
          <w:p>
            <w:r>
              <w:rPr>
                <w:rFonts w:ascii="Arial" w:hAnsi="Arial"/>
                <w:b w:val="0"/>
                <w:sz w:val="19"/>
              </w:rPr>
              <w:t>EC8 / NCSE — [PENDIENTE]</w:t>
            </w:r>
          </w:p>
        </w:tc>
      </w:tr>
    </w:tbl>
    <w:p>
      <w:pPr>
        <w:jc w:val="left"/>
      </w:pPr>
      <w:r>
        <w:rPr>
          <w:i/>
          <w:color w:val="595959"/>
          <w:sz w:val="19"/>
        </w:rPr>
        <w:t>Tabla 4. Acciones características.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bottom w:val="single" w:sz="4" w:space="0" w:color="BFBFBF"/>
          <w:insideH w:val="single" w:sz="4" w:space="0" w:color="BFBFBF"/>
          <w:left w:val="nil" w:sz="0" w:space="0" w:color="auto"/>
          <w:right w:val="nil" w:sz="0" w:space="0" w:color="auto"/>
          <w:insideV w:val="nil" w:sz="0" w:space="0" w:color="auto"/>
        </w:tblBorders>
      </w:tblPr>
      <w:tblGrid>
        <w:gridCol w:w="2268"/>
        <w:gridCol w:w="2268"/>
        <w:gridCol w:w="2268"/>
        <w:gridCol w:w="2268"/>
      </w:tblGrid>
      <w:tr>
        <w:trPr>
          <w:tblHeader w:val="true"/>
          <w:cantSplit w:val="true"/>
        </w:trPr>
        <w:tc>
          <w:tcPr>
            <w:tcW w:type="dxa" w:w="2268"/>
            <w:tcBorders>
              <w:left w:val="single" w:sz="4" w:space="0" w:color="9CB7D4"/>
              <w:right w:val="single" w:sz="4" w:space="0" w:color="9CB7D4"/>
            </w:tcBorders>
            <w:shd w:val="clear" w:fill="D9E2F3"/>
          </w:tcPr>
          <w:p>
            <w:r>
              <w:rPr>
                <w:rFonts w:ascii="Arial" w:hAnsi="Arial"/>
                <w:b/>
                <w:sz w:val="19"/>
              </w:rPr>
              <w:t>Combinación</w:t>
            </w:r>
          </w:p>
        </w:tc>
        <w:tc>
          <w:tcPr>
            <w:tcW w:type="dxa" w:w="2268"/>
            <w:tcBorders>
              <w:left w:val="single" w:sz="4" w:space="0" w:color="9CB7D4"/>
              <w:right w:val="single" w:sz="4" w:space="0" w:color="9CB7D4"/>
            </w:tcBorders>
            <w:shd w:val="clear" w:fill="D9E2F3"/>
          </w:tcPr>
          <w:p>
            <w:r>
              <w:rPr>
                <w:rFonts w:ascii="Arial" w:hAnsi="Arial"/>
                <w:b/>
                <w:sz w:val="19"/>
              </w:rPr>
              <w:t>Expresión</w:t>
            </w:r>
          </w:p>
        </w:tc>
        <w:tc>
          <w:tcPr>
            <w:tcW w:type="dxa" w:w="2268"/>
            <w:tcBorders>
              <w:left w:val="single" w:sz="4" w:space="0" w:color="9CB7D4"/>
              <w:right w:val="single" w:sz="4" w:space="0" w:color="9CB7D4"/>
            </w:tcBorders>
            <w:shd w:val="clear" w:fill="D9E2F3"/>
          </w:tcPr>
          <w:p>
            <w:r>
              <w:rPr>
                <w:rFonts w:ascii="Arial" w:hAnsi="Arial"/>
                <w:b/>
                <w:sz w:val="19"/>
              </w:rPr>
              <w:t>Coef. γ / ψ</w:t>
            </w:r>
          </w:p>
        </w:tc>
        <w:tc>
          <w:tcPr>
            <w:tcW w:type="dxa" w:w="2268"/>
            <w:tcBorders>
              <w:left w:val="single" w:sz="4" w:space="0" w:color="9CB7D4"/>
              <w:right w:val="single" w:sz="4" w:space="0" w:color="9CB7D4"/>
            </w:tcBorders>
            <w:shd w:val="clear" w:fill="D9E2F3"/>
          </w:tcPr>
          <w:p>
            <w:r>
              <w:rPr>
                <w:rFonts w:ascii="Arial" w:hAnsi="Arial"/>
                <w:b/>
                <w:sz w:val="19"/>
              </w:rPr>
              <w:t>Cláusula</w:t>
            </w:r>
          </w:p>
        </w:tc>
      </w:tr>
      <w:tr>
        <w:tc>
          <w:tcPr>
            <w:tcW w:type="dxa" w:w="2268"/>
          </w:tcPr>
          <w:p>
            <w:r>
              <w:rPr>
                <w:rFonts w:ascii="Arial" w:hAnsi="Arial"/>
                <w:b w:val="0"/>
                <w:sz w:val="19"/>
              </w:rPr>
              <w:t>ELU (STR/GEO)</w:t>
            </w:r>
          </w:p>
        </w:tc>
        <w:tc>
          <w:tcPr>
            <w:tcW w:type="dxa" w:w="2268"/>
          </w:tcPr>
          <w:p>
            <w:r>
              <w:rPr>
                <w:rFonts w:ascii="Arial" w:hAnsi="Arial"/>
                <w:b w:val="0"/>
                <w:sz w:val="19"/>
              </w:rPr>
              <w:t>1,35·G + 1,50·Q_lead + 1,50·ψ₀·Q</w:t>
            </w:r>
          </w:p>
        </w:tc>
        <w:tc>
          <w:tcPr>
            <w:tcW w:type="dxa" w:w="2268"/>
          </w:tcPr>
          <w:p>
            <w:r>
              <w:rPr>
                <w:rFonts w:ascii="Arial" w:hAnsi="Arial"/>
                <w:b w:val="0"/>
                <w:sz w:val="19"/>
              </w:rPr>
              <w:t>γ_G=1,35 · γ_Q=1,50 · ψ₀=0,7</w:t>
            </w:r>
          </w:p>
        </w:tc>
        <w:tc>
          <w:tcPr>
            <w:tcW w:type="dxa" w:w="2268"/>
          </w:tcPr>
          <w:p>
            <w:r>
              <w:rPr>
                <w:rFonts w:ascii="Arial" w:hAnsi="Arial"/>
                <w:b w:val="0"/>
                <w:sz w:val="19"/>
              </w:rPr>
              <w:t>EC0 6.10</w:t>
            </w:r>
          </w:p>
        </w:tc>
      </w:tr>
      <w:tr>
        <w:tc>
          <w:tcPr>
            <w:tcW w:type="dxa" w:w="2268"/>
          </w:tcPr>
          <w:p>
            <w:r>
              <w:rPr>
                <w:rFonts w:ascii="Arial" w:hAnsi="Arial"/>
                <w:b w:val="0"/>
                <w:sz w:val="19"/>
              </w:rPr>
              <w:t>ELS estanqueidad</w:t>
            </w:r>
          </w:p>
        </w:tc>
        <w:tc>
          <w:tcPr>
            <w:tcW w:type="dxa" w:w="2268"/>
          </w:tcPr>
          <w:p>
            <w:r>
              <w:rPr>
                <w:rFonts w:ascii="Arial" w:hAnsi="Arial"/>
                <w:b w:val="0"/>
                <w:sz w:val="19"/>
              </w:rPr>
              <w:t>1,0·G + 1,0·Q (lleno)</w:t>
            </w:r>
          </w:p>
        </w:tc>
        <w:tc>
          <w:tcPr>
            <w:tcW w:type="dxa" w:w="2268"/>
          </w:tcPr>
          <w:p>
            <w:r>
              <w:rPr>
                <w:rFonts w:ascii="Arial" w:hAnsi="Arial"/>
                <w:b w:val="0"/>
                <w:sz w:val="19"/>
              </w:rPr>
              <w:t>γ=1,0 (característica)</w:t>
            </w:r>
          </w:p>
        </w:tc>
        <w:tc>
          <w:tcPr>
            <w:tcW w:type="dxa" w:w="2268"/>
          </w:tcPr>
          <w:p>
            <w:r>
              <w:rPr>
                <w:rFonts w:ascii="Arial" w:hAnsi="Arial"/>
                <w:b w:val="0"/>
                <w:sz w:val="19"/>
              </w:rPr>
              <w:t>EN 1992-3 / EC0 6.14</w:t>
            </w:r>
          </w:p>
        </w:tc>
      </w:tr>
      <w:tr>
        <w:tc>
          <w:tcPr>
            <w:tcW w:type="dxa" w:w="2268"/>
          </w:tcPr>
          <w:p>
            <w:r>
              <w:rPr>
                <w:rFonts w:ascii="Arial" w:hAnsi="Arial"/>
                <w:b w:val="0"/>
                <w:sz w:val="19"/>
              </w:rPr>
              <w:t>Flotación (UPL)</w:t>
            </w:r>
          </w:p>
        </w:tc>
        <w:tc>
          <w:tcPr>
            <w:tcW w:type="dxa" w:w="2268"/>
          </w:tcPr>
          <w:p>
            <w:r>
              <w:rPr>
                <w:rFonts w:ascii="Arial" w:hAnsi="Arial"/>
                <w:b w:val="0"/>
                <w:sz w:val="19"/>
              </w:rPr>
              <w:t>G_dst·1,0 ≤ G_stb·0,9</w:t>
            </w:r>
          </w:p>
        </w:tc>
        <w:tc>
          <w:tcPr>
            <w:tcW w:type="dxa" w:w="2268"/>
          </w:tcPr>
          <w:p>
            <w:r>
              <w:rPr>
                <w:rFonts w:ascii="Arial" w:hAnsi="Arial"/>
                <w:b w:val="0"/>
                <w:sz w:val="19"/>
              </w:rPr>
              <w:t>γ_G,stb=0,90</w:t>
            </w:r>
          </w:p>
        </w:tc>
        <w:tc>
          <w:tcPr>
            <w:tcW w:type="dxa" w:w="2268"/>
          </w:tcPr>
          <w:p>
            <w:r>
              <w:rPr>
                <w:rFonts w:ascii="Arial" w:hAnsi="Arial"/>
                <w:b w:val="0"/>
                <w:sz w:val="19"/>
              </w:rPr>
              <w:t>EC7 (UPL)</w:t>
            </w:r>
          </w:p>
        </w:tc>
      </w:tr>
    </w:tbl>
    <w:p>
      <w:pPr>
        <w:jc w:val="left"/>
      </w:pPr>
      <w:r>
        <w:rPr>
          <w:i/>
          <w:color w:val="595959"/>
          <w:sz w:val="19"/>
        </w:rPr>
        <w:t>Tabla 5. Combinaciones y coeficientes. El empuje de tierras se trata como permanente (γ=1,35); agua y tráfico como variables (γ=1,50).</w:t>
      </w:r>
    </w:p>
    <w:p>
      <w:pPr>
        <w:pStyle w:val="Heading1"/>
      </w:pPr>
      <w:r>
        <w:t>5. Modelo e idealización</w:t>
      </w:r>
    </w:p>
    <w:p>
      <w:r>
        <w:t>Cajón estanco rectangular enterrado. Los muros se idealizan como franja vertical de 1 m empotrada en la losa de fondo y apuntalada en la losa de cubierta (ménsula apuntalada), con acción reversible agua↔tierras y armado en ambas caras. La losa de fondo se modela como viga sobre lecho elástico (Winkler, k_s = 80.000 kN/m³ sobre arenisca UG3). La losa de cubierta se calcula como losa unidireccional de 11,37 m bajo IAP-11 LM1. Resolución por elementos finitos de barra (Euler-Bernoulli) y BoEF; la QA la ha contrastado con placa 2D.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80000" cy="394983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sq_mur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39498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left"/>
      </w:pPr>
      <w:r>
        <w:rPr>
          <w:i/>
          <w:color w:val="595959"/>
          <w:sz w:val="19"/>
        </w:rPr>
        <w:t>Figura 1. Esquema de cargas del muro perimetral (ménsula apuntalada, ELU).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258986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_mur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5898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left"/>
      </w:pPr>
      <w:r>
        <w:rPr>
          <w:i/>
          <w:color w:val="595959"/>
          <w:sz w:val="19"/>
        </w:rPr>
        <w:t>Figura 2. Diagramas de esfuerzos del muro (envolvente ELU): M_base = 125 kN·m/m, V_base = 160,9 kN/m.</w:t>
      </w:r>
    </w:p>
    <w:p>
      <w:pPr>
        <w:pStyle w:val="Heading1"/>
      </w:pPr>
      <w:r>
        <w:t>6. Cálculo y resultados (por elemento)</w:t>
      </w:r>
    </w:p>
    <w:p>
      <w:r>
        <w:t>Esfuerzos de cálculo y armado propuesto. Valores verificados por QA independiente (desviación ≤ 2 % en muros y raft; ≤ 2,3 % en la losa de cubierta con placa 2D).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bottom w:val="single" w:sz="4" w:space="0" w:color="BFBFBF"/>
          <w:insideH w:val="single" w:sz="4" w:space="0" w:color="BFBFBF"/>
          <w:left w:val="nil" w:sz="0" w:space="0" w:color="auto"/>
          <w:right w:val="nil" w:sz="0" w:space="0" w:color="auto"/>
          <w:insideV w:val="nil" w:sz="0" w:space="0" w:color="auto"/>
        </w:tblBorders>
      </w:tblPr>
      <w:tblGrid>
        <w:gridCol w:w="3024"/>
        <w:gridCol w:w="3024"/>
        <w:gridCol w:w="3024"/>
      </w:tblGrid>
      <w:tr>
        <w:trPr>
          <w:tblHeader w:val="true"/>
          <w:cantSplit w:val="true"/>
        </w:trPr>
        <w:tc>
          <w:tcPr>
            <w:tcW w:type="dxa" w:w="3024"/>
            <w:tcBorders>
              <w:left w:val="single" w:sz="4" w:space="0" w:color="9CB7D4"/>
              <w:right w:val="single" w:sz="4" w:space="0" w:color="9CB7D4"/>
            </w:tcBorders>
            <w:shd w:val="clear" w:fill="D9E2F3"/>
          </w:tcPr>
          <w:p>
            <w:r>
              <w:rPr>
                <w:rFonts w:ascii="Arial" w:hAnsi="Arial"/>
                <w:b/>
                <w:sz w:val="19"/>
              </w:rPr>
              <w:t>Elemento</w:t>
            </w:r>
          </w:p>
        </w:tc>
        <w:tc>
          <w:tcPr>
            <w:tcW w:type="dxa" w:w="3024"/>
            <w:tcBorders>
              <w:left w:val="single" w:sz="4" w:space="0" w:color="9CB7D4"/>
              <w:right w:val="single" w:sz="4" w:space="0" w:color="9CB7D4"/>
            </w:tcBorders>
            <w:shd w:val="clear" w:fill="D9E2F3"/>
          </w:tcPr>
          <w:p>
            <w:r>
              <w:rPr>
                <w:rFonts w:ascii="Arial" w:hAnsi="Arial"/>
                <w:b/>
                <w:sz w:val="19"/>
              </w:rPr>
              <w:t>Esfuerzo de cálculo (ELU)</w:t>
            </w:r>
          </w:p>
        </w:tc>
        <w:tc>
          <w:tcPr>
            <w:tcW w:type="dxa" w:w="3024"/>
            <w:tcBorders>
              <w:left w:val="single" w:sz="4" w:space="0" w:color="9CB7D4"/>
              <w:right w:val="single" w:sz="4" w:space="0" w:color="9CB7D4"/>
            </w:tcBorders>
            <w:shd w:val="clear" w:fill="D9E2F3"/>
          </w:tcPr>
          <w:p>
            <w:r>
              <w:rPr>
                <w:rFonts w:ascii="Arial" w:hAnsi="Arial"/>
                <w:b/>
                <w:sz w:val="19"/>
              </w:rPr>
              <w:t>Armado propuesto (cada cara)</w:t>
            </w:r>
          </w:p>
        </w:tc>
      </w:tr>
      <w:tr>
        <w:tc>
          <w:tcPr>
            <w:tcW w:type="dxa" w:w="3024"/>
          </w:tcPr>
          <w:p>
            <w:r>
              <w:rPr>
                <w:rFonts w:ascii="Arial" w:hAnsi="Arial"/>
                <w:b w:val="0"/>
                <w:sz w:val="19"/>
              </w:rPr>
              <w:t>Muro perimetral 50</w:t>
            </w:r>
          </w:p>
        </w:tc>
        <w:tc>
          <w:tcPr>
            <w:tcW w:type="dxa" w:w="3024"/>
          </w:tcPr>
          <w:p>
            <w:r>
              <w:rPr>
                <w:rFonts w:ascii="Arial" w:hAnsi="Arial"/>
                <w:b w:val="0"/>
                <w:sz w:val="19"/>
              </w:rPr>
              <w:t>M=125 kN·m/m · V=160,9 kN/m</w:t>
            </w:r>
          </w:p>
        </w:tc>
        <w:tc>
          <w:tcPr>
            <w:tcW w:type="dxa" w:w="3024"/>
          </w:tcPr>
          <w:p>
            <w:r>
              <w:rPr>
                <w:rFonts w:ascii="Arial" w:hAnsi="Arial"/>
                <w:b w:val="0"/>
                <w:sz w:val="19"/>
              </w:rPr>
              <w:t>φ20/200 (15,71 cm²/m)</w:t>
            </w:r>
          </w:p>
        </w:tc>
      </w:tr>
      <w:tr>
        <w:tc>
          <w:tcPr>
            <w:tcW w:type="dxa" w:w="3024"/>
          </w:tcPr>
          <w:p>
            <w:r>
              <w:rPr>
                <w:rFonts w:ascii="Arial" w:hAnsi="Arial"/>
                <w:b w:val="0"/>
                <w:sz w:val="19"/>
              </w:rPr>
              <w:t>Muro interior 50</w:t>
            </w:r>
          </w:p>
        </w:tc>
        <w:tc>
          <w:tcPr>
            <w:tcW w:type="dxa" w:w="3024"/>
          </w:tcPr>
          <w:p>
            <w:r>
              <w:rPr>
                <w:rFonts w:ascii="Arial" w:hAnsi="Arial"/>
                <w:b w:val="0"/>
                <w:sz w:val="19"/>
              </w:rPr>
              <w:t>M=82,2 kN·m/m (agua diferencial)</w:t>
            </w:r>
          </w:p>
        </w:tc>
        <w:tc>
          <w:tcPr>
            <w:tcW w:type="dxa" w:w="3024"/>
          </w:tcPr>
          <w:p>
            <w:r>
              <w:rPr>
                <w:rFonts w:ascii="Arial" w:hAnsi="Arial"/>
                <w:b w:val="0"/>
                <w:sz w:val="19"/>
              </w:rPr>
              <w:t>φ20/200</w:t>
            </w:r>
          </w:p>
        </w:tc>
      </w:tr>
      <w:tr>
        <w:tc>
          <w:tcPr>
            <w:tcW w:type="dxa" w:w="3024"/>
          </w:tcPr>
          <w:p>
            <w:r>
              <w:rPr>
                <w:rFonts w:ascii="Arial" w:hAnsi="Arial"/>
                <w:b w:val="0"/>
                <w:sz w:val="19"/>
              </w:rPr>
              <w:t>Losa de cubierta 70</w:t>
            </w:r>
          </w:p>
        </w:tc>
        <w:tc>
          <w:tcPr>
            <w:tcW w:type="dxa" w:w="3024"/>
          </w:tcPr>
          <w:p>
            <w:r>
              <w:rPr>
                <w:rFonts w:ascii="Arial" w:hAnsi="Arial"/>
                <w:b w:val="0"/>
                <w:sz w:val="19"/>
              </w:rPr>
              <w:t>M=923,9 kN·m/m (LM1)</w:t>
            </w:r>
          </w:p>
        </w:tc>
        <w:tc>
          <w:tcPr>
            <w:tcW w:type="dxa" w:w="3024"/>
          </w:tcPr>
          <w:p>
            <w:r>
              <w:rPr>
                <w:rFonts w:ascii="Arial" w:hAnsi="Arial"/>
                <w:b w:val="0"/>
                <w:sz w:val="19"/>
              </w:rPr>
              <w:t>φ25/100 inferior (≈49 cm²/m)</w:t>
            </w:r>
          </w:p>
        </w:tc>
      </w:tr>
      <w:tr>
        <w:tc>
          <w:tcPr>
            <w:tcW w:type="dxa" w:w="3024"/>
          </w:tcPr>
          <w:p>
            <w:r>
              <w:rPr>
                <w:rFonts w:ascii="Arial" w:hAnsi="Arial"/>
                <w:b w:val="0"/>
                <w:sz w:val="19"/>
              </w:rPr>
              <w:t>Losa de fondo (raft)</w:t>
            </w:r>
          </w:p>
        </w:tc>
        <w:tc>
          <w:tcPr>
            <w:tcW w:type="dxa" w:w="3024"/>
          </w:tcPr>
          <w:p>
            <w:r>
              <w:rPr>
                <w:rFonts w:ascii="Arial" w:hAnsi="Arial"/>
                <w:b w:val="0"/>
                <w:sz w:val="19"/>
              </w:rPr>
              <w:t>M=179,2 kN·m/m (Winkler)</w:t>
            </w:r>
          </w:p>
        </w:tc>
        <w:tc>
          <w:tcPr>
            <w:tcW w:type="dxa" w:w="3024"/>
          </w:tcPr>
          <w:p>
            <w:r>
              <w:rPr>
                <w:rFonts w:ascii="Arial" w:hAnsi="Arial"/>
                <w:b w:val="0"/>
                <w:sz w:val="19"/>
              </w:rPr>
              <w:t>φ20/175 (17,95 cm²/m)</w:t>
            </w:r>
          </w:p>
        </w:tc>
      </w:tr>
    </w:tbl>
    <w:p>
      <w:pPr>
        <w:jc w:val="left"/>
      </w:pPr>
      <w:r>
        <w:rPr>
          <w:i/>
          <w:color w:val="595959"/>
          <w:sz w:val="19"/>
        </w:rPr>
        <w:t>Tabla 6. Esfuerzos y armado. El raft se ajusta a φ20/175 (frente a φ20/200) por control de fisuración (ver §7).</w:t>
      </w:r>
    </w:p>
    <w:p>
      <w:pPr>
        <w:pStyle w:val="Heading1"/>
      </w:pPr>
      <w:r>
        <w:t>7. Comprobaciones (E_d ≤ R_d)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bottom w:val="single" w:sz="4" w:space="0" w:color="BFBFBF"/>
          <w:insideH w:val="single" w:sz="4" w:space="0" w:color="BFBFBF"/>
          <w:left w:val="nil" w:sz="0" w:space="0" w:color="auto"/>
          <w:right w:val="nil" w:sz="0" w:space="0" w:color="auto"/>
          <w:insideV w:val="nil" w:sz="0" w:space="0" w:color="auto"/>
        </w:tblBorders>
      </w:tblPr>
      <w:tblGrid>
        <w:gridCol w:w="1512"/>
        <w:gridCol w:w="1512"/>
        <w:gridCol w:w="1512"/>
        <w:gridCol w:w="1512"/>
        <w:gridCol w:w="1512"/>
        <w:gridCol w:w="1512"/>
      </w:tblGrid>
      <w:tr>
        <w:trPr>
          <w:tblHeader w:val="true"/>
          <w:cantSplit w:val="true"/>
        </w:trPr>
        <w:tc>
          <w:tcPr>
            <w:tcW w:type="dxa" w:w="1512"/>
            <w:tcBorders>
              <w:left w:val="single" w:sz="4" w:space="0" w:color="9CB7D4"/>
              <w:right w:val="single" w:sz="4" w:space="0" w:color="9CB7D4"/>
            </w:tcBorders>
            <w:shd w:val="clear" w:fill="D9E2F3"/>
          </w:tcPr>
          <w:p>
            <w:r>
              <w:rPr>
                <w:rFonts w:ascii="Arial" w:hAnsi="Arial"/>
                <w:b/>
                <w:sz w:val="19"/>
              </w:rPr>
              <w:t>Elemento · comprobación</w:t>
            </w:r>
          </w:p>
        </w:tc>
        <w:tc>
          <w:tcPr>
            <w:tcW w:type="dxa" w:w="1512"/>
            <w:tcBorders>
              <w:left w:val="single" w:sz="4" w:space="0" w:color="9CB7D4"/>
              <w:right w:val="single" w:sz="4" w:space="0" w:color="9CB7D4"/>
            </w:tcBorders>
            <w:shd w:val="clear" w:fill="D9E2F3"/>
          </w:tcPr>
          <w:p>
            <w:r>
              <w:rPr>
                <w:rFonts w:ascii="Arial" w:hAnsi="Arial"/>
                <w:b/>
                <w:sz w:val="19"/>
              </w:rPr>
              <w:t>Cláusula</w:t>
            </w:r>
          </w:p>
        </w:tc>
        <w:tc>
          <w:tcPr>
            <w:tcW w:type="dxa" w:w="1512"/>
            <w:tcBorders>
              <w:left w:val="single" w:sz="4" w:space="0" w:color="9CB7D4"/>
              <w:right w:val="single" w:sz="4" w:space="0" w:color="9CB7D4"/>
            </w:tcBorders>
            <w:shd w:val="clear" w:fill="D9E2F3"/>
          </w:tcPr>
          <w:p>
            <w:r>
              <w:rPr>
                <w:rFonts w:ascii="Arial" w:hAnsi="Arial"/>
                <w:b/>
                <w:sz w:val="19"/>
              </w:rPr>
              <w:t>E_d</w:t>
            </w:r>
          </w:p>
        </w:tc>
        <w:tc>
          <w:tcPr>
            <w:tcW w:type="dxa" w:w="1512"/>
            <w:tcBorders>
              <w:left w:val="single" w:sz="4" w:space="0" w:color="9CB7D4"/>
              <w:right w:val="single" w:sz="4" w:space="0" w:color="9CB7D4"/>
            </w:tcBorders>
            <w:shd w:val="clear" w:fill="D9E2F3"/>
          </w:tcPr>
          <w:p>
            <w:r>
              <w:rPr>
                <w:rFonts w:ascii="Arial" w:hAnsi="Arial"/>
                <w:b/>
                <w:sz w:val="19"/>
              </w:rPr>
              <w:t>R_d</w:t>
            </w:r>
          </w:p>
        </w:tc>
        <w:tc>
          <w:tcPr>
            <w:tcW w:type="dxa" w:w="1512"/>
            <w:tcBorders>
              <w:left w:val="single" w:sz="4" w:space="0" w:color="9CB7D4"/>
              <w:right w:val="single" w:sz="4" w:space="0" w:color="9CB7D4"/>
            </w:tcBorders>
            <w:shd w:val="clear" w:fill="D9E2F3"/>
          </w:tcPr>
          <w:p>
            <w:r>
              <w:rPr>
                <w:rFonts w:ascii="Arial" w:hAnsi="Arial"/>
                <w:b/>
                <w:sz w:val="19"/>
              </w:rPr>
              <w:t>η</w:t>
            </w:r>
          </w:p>
        </w:tc>
        <w:tc>
          <w:tcPr>
            <w:tcW w:type="dxa" w:w="1512"/>
            <w:tcBorders>
              <w:left w:val="single" w:sz="4" w:space="0" w:color="9CB7D4"/>
              <w:right w:val="single" w:sz="4" w:space="0" w:color="9CB7D4"/>
            </w:tcBorders>
            <w:shd w:val="clear" w:fill="D9E2F3"/>
          </w:tcPr>
          <w:p>
            <w:r>
              <w:rPr>
                <w:rFonts w:ascii="Arial" w:hAnsi="Arial"/>
                <w:b/>
                <w:sz w:val="19"/>
              </w:rPr>
              <w:t>Veredicto</w:t>
            </w:r>
          </w:p>
        </w:tc>
      </w:tr>
      <w:tr>
        <w:tc>
          <w:tcPr>
            <w:tcW w:type="dxa" w:w="1512"/>
          </w:tcPr>
          <w:p>
            <w:r>
              <w:rPr>
                <w:rFonts w:ascii="Arial" w:hAnsi="Arial"/>
                <w:b w:val="0"/>
                <w:sz w:val="19"/>
              </w:rPr>
              <w:t>Muro perim. · flexión</w:t>
            </w:r>
          </w:p>
        </w:tc>
        <w:tc>
          <w:tcPr>
            <w:tcW w:type="dxa" w:w="1512"/>
          </w:tcPr>
          <w:p>
            <w:r>
              <w:rPr>
                <w:rFonts w:ascii="Arial" w:hAnsi="Arial"/>
                <w:b w:val="0"/>
                <w:sz w:val="19"/>
              </w:rPr>
              <w:t>EC2 6.1</w:t>
            </w:r>
          </w:p>
        </w:tc>
        <w:tc>
          <w:tcPr>
            <w:tcW w:type="dxa" w:w="1512"/>
          </w:tcPr>
          <w:p>
            <w:r>
              <w:rPr>
                <w:rFonts w:ascii="Arial" w:hAnsi="Arial"/>
                <w:b w:val="0"/>
                <w:sz w:val="19"/>
              </w:rPr>
              <w:t>125</w:t>
            </w:r>
          </w:p>
        </w:tc>
        <w:tc>
          <w:tcPr>
            <w:tcW w:type="dxa" w:w="1512"/>
          </w:tcPr>
          <w:p>
            <w:r>
              <w:rPr>
                <w:rFonts w:ascii="Arial" w:hAnsi="Arial"/>
                <w:b w:val="0"/>
                <w:sz w:val="19"/>
              </w:rPr>
              <w:t>272</w:t>
            </w:r>
          </w:p>
        </w:tc>
        <w:tc>
          <w:tcPr>
            <w:tcW w:type="dxa" w:w="1512"/>
          </w:tcPr>
          <w:p>
            <w:r>
              <w:rPr>
                <w:rFonts w:ascii="Arial" w:hAnsi="Arial"/>
                <w:b w:val="0"/>
                <w:sz w:val="19"/>
              </w:rPr>
              <w:t>0,46</w:t>
            </w:r>
          </w:p>
        </w:tc>
        <w:tc>
          <w:tcPr>
            <w:tcW w:type="dxa" w:w="1512"/>
          </w:tcPr>
          <w:p>
            <w:r>
              <w:rPr>
                <w:rFonts w:ascii="Arial" w:hAnsi="Arial"/>
                <w:b w:val="0"/>
                <w:sz w:val="19"/>
              </w:rPr>
              <w:t>CUMPLE</w:t>
            </w:r>
          </w:p>
        </w:tc>
      </w:tr>
      <w:tr>
        <w:tc>
          <w:tcPr>
            <w:tcW w:type="dxa" w:w="1512"/>
          </w:tcPr>
          <w:p>
            <w:r>
              <w:rPr>
                <w:rFonts w:ascii="Arial" w:hAnsi="Arial"/>
                <w:b w:val="0"/>
                <w:sz w:val="19"/>
              </w:rPr>
              <w:t>Muro perim. · cortante</w:t>
            </w:r>
          </w:p>
        </w:tc>
        <w:tc>
          <w:tcPr>
            <w:tcW w:type="dxa" w:w="1512"/>
          </w:tcPr>
          <w:p>
            <w:r>
              <w:rPr>
                <w:rFonts w:ascii="Arial" w:hAnsi="Arial"/>
                <w:b w:val="0"/>
                <w:sz w:val="19"/>
              </w:rPr>
              <w:t>EC2 6.2.2</w:t>
            </w:r>
          </w:p>
        </w:tc>
        <w:tc>
          <w:tcPr>
            <w:tcW w:type="dxa" w:w="1512"/>
          </w:tcPr>
          <w:p>
            <w:r>
              <w:rPr>
                <w:rFonts w:ascii="Arial" w:hAnsi="Arial"/>
                <w:b w:val="0"/>
                <w:sz w:val="19"/>
              </w:rPr>
              <w:t>160,9 kN</w:t>
            </w:r>
          </w:p>
        </w:tc>
        <w:tc>
          <w:tcPr>
            <w:tcW w:type="dxa" w:w="1512"/>
          </w:tcPr>
          <w:p>
            <w:r>
              <w:rPr>
                <w:rFonts w:ascii="Arial" w:hAnsi="Arial"/>
                <w:b w:val="0"/>
                <w:sz w:val="19"/>
              </w:rPr>
              <w:t>195,9 kN</w:t>
            </w:r>
          </w:p>
        </w:tc>
        <w:tc>
          <w:tcPr>
            <w:tcW w:type="dxa" w:w="1512"/>
          </w:tcPr>
          <w:p>
            <w:r>
              <w:rPr>
                <w:rFonts w:ascii="Arial" w:hAnsi="Arial"/>
                <w:b w:val="0"/>
                <w:sz w:val="19"/>
              </w:rPr>
              <w:t>0,82</w:t>
            </w:r>
          </w:p>
        </w:tc>
        <w:tc>
          <w:tcPr>
            <w:tcW w:type="dxa" w:w="1512"/>
          </w:tcPr>
          <w:p>
            <w:r>
              <w:rPr>
                <w:rFonts w:ascii="Arial" w:hAnsi="Arial"/>
                <w:b w:val="0"/>
                <w:sz w:val="19"/>
              </w:rPr>
              <w:t>CUMPLE</w:t>
            </w:r>
          </w:p>
        </w:tc>
      </w:tr>
      <w:tr>
        <w:tc>
          <w:tcPr>
            <w:tcW w:type="dxa" w:w="1512"/>
          </w:tcPr>
          <w:p>
            <w:r>
              <w:rPr>
                <w:rFonts w:ascii="Arial" w:hAnsi="Arial"/>
                <w:b w:val="0"/>
                <w:sz w:val="19"/>
              </w:rPr>
              <w:t>Muro perim. · fisura (cara agua)</w:t>
            </w:r>
          </w:p>
        </w:tc>
        <w:tc>
          <w:tcPr>
            <w:tcW w:type="dxa" w:w="1512"/>
          </w:tcPr>
          <w:p>
            <w:r>
              <w:rPr>
                <w:rFonts w:ascii="Arial" w:hAnsi="Arial"/>
                <w:b w:val="0"/>
                <w:sz w:val="19"/>
              </w:rPr>
              <w:t>EN 1992-3</w:t>
            </w:r>
          </w:p>
        </w:tc>
        <w:tc>
          <w:tcPr>
            <w:tcW w:type="dxa" w:w="1512"/>
          </w:tcPr>
          <w:p>
            <w:r>
              <w:rPr>
                <w:rFonts w:ascii="Arial" w:hAnsi="Arial"/>
                <w:b w:val="0"/>
                <w:sz w:val="19"/>
              </w:rPr>
              <w:t>0,113 mm</w:t>
            </w:r>
          </w:p>
        </w:tc>
        <w:tc>
          <w:tcPr>
            <w:tcW w:type="dxa" w:w="1512"/>
          </w:tcPr>
          <w:p>
            <w:r>
              <w:rPr>
                <w:rFonts w:ascii="Arial" w:hAnsi="Arial"/>
                <w:b w:val="0"/>
                <w:sz w:val="19"/>
              </w:rPr>
              <w:t>0,20 mm</w:t>
            </w:r>
          </w:p>
        </w:tc>
        <w:tc>
          <w:tcPr>
            <w:tcW w:type="dxa" w:w="1512"/>
          </w:tcPr>
          <w:p>
            <w:r>
              <w:rPr>
                <w:rFonts w:ascii="Arial" w:hAnsi="Arial"/>
                <w:b w:val="0"/>
                <w:sz w:val="19"/>
              </w:rPr>
              <w:t>0,57</w:t>
            </w:r>
          </w:p>
        </w:tc>
        <w:tc>
          <w:tcPr>
            <w:tcW w:type="dxa" w:w="1512"/>
          </w:tcPr>
          <w:p>
            <w:r>
              <w:rPr>
                <w:rFonts w:ascii="Arial" w:hAnsi="Arial"/>
                <w:b w:val="0"/>
                <w:sz w:val="19"/>
              </w:rPr>
              <w:t>CUMPLE</w:t>
            </w:r>
          </w:p>
        </w:tc>
      </w:tr>
      <w:tr>
        <w:tc>
          <w:tcPr>
            <w:tcW w:type="dxa" w:w="1512"/>
          </w:tcPr>
          <w:p>
            <w:r>
              <w:rPr>
                <w:rFonts w:ascii="Arial" w:hAnsi="Arial"/>
                <w:b w:val="0"/>
                <w:sz w:val="19"/>
              </w:rPr>
              <w:t>Muro interior · flexión</w:t>
            </w:r>
          </w:p>
        </w:tc>
        <w:tc>
          <w:tcPr>
            <w:tcW w:type="dxa" w:w="1512"/>
          </w:tcPr>
          <w:p>
            <w:r>
              <w:rPr>
                <w:rFonts w:ascii="Arial" w:hAnsi="Arial"/>
                <w:b w:val="0"/>
                <w:sz w:val="19"/>
              </w:rPr>
              <w:t>EC2 6.1</w:t>
            </w:r>
          </w:p>
        </w:tc>
        <w:tc>
          <w:tcPr>
            <w:tcW w:type="dxa" w:w="1512"/>
          </w:tcPr>
          <w:p>
            <w:r>
              <w:rPr>
                <w:rFonts w:ascii="Arial" w:hAnsi="Arial"/>
                <w:b w:val="0"/>
                <w:sz w:val="19"/>
              </w:rPr>
              <w:t>82,2</w:t>
            </w:r>
          </w:p>
        </w:tc>
        <w:tc>
          <w:tcPr>
            <w:tcW w:type="dxa" w:w="1512"/>
          </w:tcPr>
          <w:p>
            <w:r>
              <w:rPr>
                <w:rFonts w:ascii="Arial" w:hAnsi="Arial"/>
                <w:b w:val="0"/>
                <w:sz w:val="19"/>
              </w:rPr>
              <w:t>272</w:t>
            </w:r>
          </w:p>
        </w:tc>
        <w:tc>
          <w:tcPr>
            <w:tcW w:type="dxa" w:w="1512"/>
          </w:tcPr>
          <w:p>
            <w:r>
              <w:rPr>
                <w:rFonts w:ascii="Arial" w:hAnsi="Arial"/>
                <w:b w:val="0"/>
                <w:sz w:val="19"/>
              </w:rPr>
              <w:t>0,30</w:t>
            </w:r>
          </w:p>
        </w:tc>
        <w:tc>
          <w:tcPr>
            <w:tcW w:type="dxa" w:w="1512"/>
          </w:tcPr>
          <w:p>
            <w:r>
              <w:rPr>
                <w:rFonts w:ascii="Arial" w:hAnsi="Arial"/>
                <w:b w:val="0"/>
                <w:sz w:val="19"/>
              </w:rPr>
              <w:t>CUMPLE</w:t>
            </w:r>
          </w:p>
        </w:tc>
      </w:tr>
      <w:tr>
        <w:tc>
          <w:tcPr>
            <w:tcW w:type="dxa" w:w="1512"/>
          </w:tcPr>
          <w:p>
            <w:r>
              <w:rPr>
                <w:rFonts w:ascii="Arial" w:hAnsi="Arial"/>
                <w:b w:val="0"/>
                <w:sz w:val="19"/>
              </w:rPr>
              <w:t>Losa cubierta · flexión (LM1)</w:t>
            </w:r>
          </w:p>
        </w:tc>
        <w:tc>
          <w:tcPr>
            <w:tcW w:type="dxa" w:w="1512"/>
          </w:tcPr>
          <w:p>
            <w:r>
              <w:rPr>
                <w:rFonts w:ascii="Arial" w:hAnsi="Arial"/>
                <w:b w:val="0"/>
                <w:sz w:val="19"/>
              </w:rPr>
              <w:t>EC2 6.1</w:t>
            </w:r>
          </w:p>
        </w:tc>
        <w:tc>
          <w:tcPr>
            <w:tcW w:type="dxa" w:w="1512"/>
          </w:tcPr>
          <w:p>
            <w:r>
              <w:rPr>
                <w:rFonts w:ascii="Arial" w:hAnsi="Arial"/>
                <w:b w:val="0"/>
                <w:sz w:val="19"/>
              </w:rPr>
              <w:t>923,9</w:t>
            </w:r>
          </w:p>
        </w:tc>
        <w:tc>
          <w:tcPr>
            <w:tcW w:type="dxa" w:w="1512"/>
          </w:tcPr>
          <w:p>
            <w:r>
              <w:rPr>
                <w:rFonts w:ascii="Arial" w:hAnsi="Arial"/>
                <w:b w:val="0"/>
                <w:sz w:val="19"/>
              </w:rPr>
              <w:t>1.235</w:t>
            </w:r>
          </w:p>
        </w:tc>
        <w:tc>
          <w:tcPr>
            <w:tcW w:type="dxa" w:w="1512"/>
          </w:tcPr>
          <w:p>
            <w:r>
              <w:rPr>
                <w:rFonts w:ascii="Arial" w:hAnsi="Arial"/>
                <w:b w:val="0"/>
                <w:sz w:val="19"/>
              </w:rPr>
              <w:t>0,75</w:t>
            </w:r>
          </w:p>
        </w:tc>
        <w:tc>
          <w:tcPr>
            <w:tcW w:type="dxa" w:w="1512"/>
          </w:tcPr>
          <w:p>
            <w:r>
              <w:rPr>
                <w:rFonts w:ascii="Arial" w:hAnsi="Arial"/>
                <w:b w:val="0"/>
                <w:sz w:val="19"/>
              </w:rPr>
              <w:t>CUMPLE</w:t>
            </w:r>
          </w:p>
        </w:tc>
      </w:tr>
      <w:tr>
        <w:tc>
          <w:tcPr>
            <w:tcW w:type="dxa" w:w="1512"/>
          </w:tcPr>
          <w:p>
            <w:r>
              <w:rPr>
                <w:rFonts w:ascii="Arial" w:hAnsi="Arial"/>
                <w:b w:val="0"/>
                <w:sz w:val="19"/>
              </w:rPr>
              <w:t>Losa cubierta · punzonamiento</w:t>
            </w:r>
          </w:p>
        </w:tc>
        <w:tc>
          <w:tcPr>
            <w:tcW w:type="dxa" w:w="1512"/>
          </w:tcPr>
          <w:p>
            <w:r>
              <w:rPr>
                <w:rFonts w:ascii="Arial" w:hAnsi="Arial"/>
                <w:b w:val="0"/>
                <w:sz w:val="19"/>
              </w:rPr>
              <w:t>EC2 6.4</w:t>
            </w:r>
          </w:p>
        </w:tc>
        <w:tc>
          <w:tcPr>
            <w:tcW w:type="dxa" w:w="1512"/>
          </w:tcPr>
          <w:p>
            <w:r>
              <w:rPr>
                <w:rFonts w:ascii="Arial" w:hAnsi="Arial"/>
                <w:b w:val="0"/>
                <w:sz w:val="19"/>
              </w:rPr>
              <w:t>0,036 MPa</w:t>
            </w:r>
          </w:p>
        </w:tc>
        <w:tc>
          <w:tcPr>
            <w:tcW w:type="dxa" w:w="1512"/>
          </w:tcPr>
          <w:p>
            <w:r>
              <w:rPr>
                <w:rFonts w:ascii="Arial" w:hAnsi="Arial"/>
                <w:b w:val="0"/>
                <w:sz w:val="19"/>
              </w:rPr>
              <w:t>0,581 MPa</w:t>
            </w:r>
          </w:p>
        </w:tc>
        <w:tc>
          <w:tcPr>
            <w:tcW w:type="dxa" w:w="1512"/>
          </w:tcPr>
          <w:p>
            <w:r>
              <w:rPr>
                <w:rFonts w:ascii="Arial" w:hAnsi="Arial"/>
                <w:b w:val="0"/>
                <w:sz w:val="19"/>
              </w:rPr>
              <w:t>0,06</w:t>
            </w:r>
          </w:p>
        </w:tc>
        <w:tc>
          <w:tcPr>
            <w:tcW w:type="dxa" w:w="1512"/>
          </w:tcPr>
          <w:p>
            <w:r>
              <w:rPr>
                <w:rFonts w:ascii="Arial" w:hAnsi="Arial"/>
                <w:b w:val="0"/>
                <w:sz w:val="19"/>
              </w:rPr>
              <w:t>CUMPLE</w:t>
            </w:r>
          </w:p>
        </w:tc>
      </w:tr>
      <w:tr>
        <w:tc>
          <w:tcPr>
            <w:tcW w:type="dxa" w:w="1512"/>
          </w:tcPr>
          <w:p>
            <w:r>
              <w:rPr>
                <w:rFonts w:ascii="Arial" w:hAnsi="Arial"/>
                <w:b w:val="0"/>
                <w:sz w:val="19"/>
              </w:rPr>
              <w:t>Losa fondo · flexión</w:t>
            </w:r>
          </w:p>
        </w:tc>
        <w:tc>
          <w:tcPr>
            <w:tcW w:type="dxa" w:w="1512"/>
          </w:tcPr>
          <w:p>
            <w:r>
              <w:rPr>
                <w:rFonts w:ascii="Arial" w:hAnsi="Arial"/>
                <w:b w:val="0"/>
                <w:sz w:val="19"/>
              </w:rPr>
              <w:t>EC2 6.1</w:t>
            </w:r>
          </w:p>
        </w:tc>
        <w:tc>
          <w:tcPr>
            <w:tcW w:type="dxa" w:w="1512"/>
          </w:tcPr>
          <w:p>
            <w:r>
              <w:rPr>
                <w:rFonts w:ascii="Arial" w:hAnsi="Arial"/>
                <w:b w:val="0"/>
                <w:sz w:val="19"/>
              </w:rPr>
              <w:t>179,2</w:t>
            </w:r>
          </w:p>
        </w:tc>
        <w:tc>
          <w:tcPr>
            <w:tcW w:type="dxa" w:w="1512"/>
          </w:tcPr>
          <w:p>
            <w:r>
              <w:rPr>
                <w:rFonts w:ascii="Arial" w:hAnsi="Arial"/>
                <w:b w:val="0"/>
                <w:sz w:val="19"/>
              </w:rPr>
              <w:t>330</w:t>
            </w:r>
          </w:p>
        </w:tc>
        <w:tc>
          <w:tcPr>
            <w:tcW w:type="dxa" w:w="1512"/>
          </w:tcPr>
          <w:p>
            <w:r>
              <w:rPr>
                <w:rFonts w:ascii="Arial" w:hAnsi="Arial"/>
                <w:b w:val="0"/>
                <w:sz w:val="19"/>
              </w:rPr>
              <w:t>0,54</w:t>
            </w:r>
          </w:p>
        </w:tc>
        <w:tc>
          <w:tcPr>
            <w:tcW w:type="dxa" w:w="1512"/>
          </w:tcPr>
          <w:p>
            <w:r>
              <w:rPr>
                <w:rFonts w:ascii="Arial" w:hAnsi="Arial"/>
                <w:b w:val="0"/>
                <w:sz w:val="19"/>
              </w:rPr>
              <w:t>CUMPLE</w:t>
            </w:r>
          </w:p>
        </w:tc>
      </w:tr>
      <w:tr>
        <w:tc>
          <w:tcPr>
            <w:tcW w:type="dxa" w:w="1512"/>
          </w:tcPr>
          <w:p>
            <w:r>
              <w:rPr>
                <w:rFonts w:ascii="Arial" w:hAnsi="Arial"/>
                <w:b w:val="0"/>
                <w:sz w:val="19"/>
              </w:rPr>
              <w:t>Losa fondo · fisura</w:t>
            </w:r>
          </w:p>
        </w:tc>
        <w:tc>
          <w:tcPr>
            <w:tcW w:type="dxa" w:w="1512"/>
          </w:tcPr>
          <w:p>
            <w:r>
              <w:rPr>
                <w:rFonts w:ascii="Arial" w:hAnsi="Arial"/>
                <w:b w:val="0"/>
                <w:sz w:val="19"/>
              </w:rPr>
              <w:t>EN 1992-3</w:t>
            </w:r>
          </w:p>
        </w:tc>
        <w:tc>
          <w:tcPr>
            <w:tcW w:type="dxa" w:w="1512"/>
          </w:tcPr>
          <w:p>
            <w:r>
              <w:rPr>
                <w:rFonts w:ascii="Arial" w:hAnsi="Arial"/>
                <w:b w:val="0"/>
                <w:sz w:val="19"/>
              </w:rPr>
              <w:t>0,179 mm</w:t>
            </w:r>
          </w:p>
        </w:tc>
        <w:tc>
          <w:tcPr>
            <w:tcW w:type="dxa" w:w="1512"/>
          </w:tcPr>
          <w:p>
            <w:r>
              <w:rPr>
                <w:rFonts w:ascii="Arial" w:hAnsi="Arial"/>
                <w:b w:val="0"/>
                <w:sz w:val="19"/>
              </w:rPr>
              <w:t>0,20 mm</w:t>
            </w:r>
          </w:p>
        </w:tc>
        <w:tc>
          <w:tcPr>
            <w:tcW w:type="dxa" w:w="1512"/>
          </w:tcPr>
          <w:p>
            <w:r>
              <w:rPr>
                <w:rFonts w:ascii="Arial" w:hAnsi="Arial"/>
                <w:b w:val="0"/>
                <w:sz w:val="19"/>
              </w:rPr>
              <w:t>0,90</w:t>
            </w:r>
          </w:p>
        </w:tc>
        <w:tc>
          <w:tcPr>
            <w:tcW w:type="dxa" w:w="1512"/>
          </w:tcPr>
          <w:p>
            <w:r>
              <w:rPr>
                <w:rFonts w:ascii="Arial" w:hAnsi="Arial"/>
                <w:b w:val="0"/>
                <w:sz w:val="19"/>
              </w:rPr>
              <w:t>CUMPLE</w:t>
            </w:r>
          </w:p>
        </w:tc>
      </w:tr>
      <w:tr>
        <w:tc>
          <w:tcPr>
            <w:tcW w:type="dxa" w:w="1512"/>
          </w:tcPr>
          <w:p>
            <w:r>
              <w:rPr>
                <w:rFonts w:ascii="Arial" w:hAnsi="Arial"/>
                <w:b w:val="0"/>
                <w:sz w:val="19"/>
              </w:rPr>
              <w:t>Portante raft</w:t>
            </w:r>
          </w:p>
        </w:tc>
        <w:tc>
          <w:tcPr>
            <w:tcW w:type="dxa" w:w="1512"/>
          </w:tcPr>
          <w:p>
            <w:r>
              <w:rPr>
                <w:rFonts w:ascii="Arial" w:hAnsi="Arial"/>
                <w:b w:val="0"/>
                <w:sz w:val="19"/>
              </w:rPr>
              <w:t>EC7</w:t>
            </w:r>
          </w:p>
        </w:tc>
        <w:tc>
          <w:tcPr>
            <w:tcW w:type="dxa" w:w="1512"/>
          </w:tcPr>
          <w:p>
            <w:r>
              <w:rPr>
                <w:rFonts w:ascii="Arial" w:hAnsi="Arial"/>
                <w:b w:val="0"/>
                <w:sz w:val="19"/>
              </w:rPr>
              <w:t>65,9 kPa</w:t>
            </w:r>
          </w:p>
        </w:tc>
        <w:tc>
          <w:tcPr>
            <w:tcW w:type="dxa" w:w="1512"/>
          </w:tcPr>
          <w:p>
            <w:r>
              <w:rPr>
                <w:rFonts w:ascii="Arial" w:hAnsi="Arial"/>
                <w:b w:val="0"/>
                <w:sz w:val="19"/>
              </w:rPr>
              <w:t>~800 kPa</w:t>
            </w:r>
          </w:p>
        </w:tc>
        <w:tc>
          <w:tcPr>
            <w:tcW w:type="dxa" w:w="1512"/>
          </w:tcPr>
          <w:p>
            <w:r>
              <w:rPr>
                <w:rFonts w:ascii="Arial" w:hAnsi="Arial"/>
                <w:b w:val="0"/>
                <w:sz w:val="19"/>
              </w:rPr>
              <w:t>0,08</w:t>
            </w:r>
          </w:p>
        </w:tc>
        <w:tc>
          <w:tcPr>
            <w:tcW w:type="dxa" w:w="1512"/>
          </w:tcPr>
          <w:p>
            <w:r>
              <w:rPr>
                <w:rFonts w:ascii="Arial" w:hAnsi="Arial"/>
                <w:b w:val="0"/>
                <w:sz w:val="19"/>
              </w:rPr>
              <w:t>CUMPLE</w:t>
            </w:r>
          </w:p>
        </w:tc>
      </w:tr>
      <w:tr>
        <w:tc>
          <w:tcPr>
            <w:tcW w:type="dxa" w:w="1512"/>
          </w:tcPr>
          <w:p>
            <w:r>
              <w:rPr>
                <w:rFonts w:ascii="Arial" w:hAnsi="Arial"/>
                <w:b w:val="0"/>
                <w:sz w:val="19"/>
              </w:rPr>
              <w:t>Flotación (freático doc.)</w:t>
            </w:r>
          </w:p>
        </w:tc>
        <w:tc>
          <w:tcPr>
            <w:tcW w:type="dxa" w:w="1512"/>
          </w:tcPr>
          <w:p>
            <w:r>
              <w:rPr>
                <w:rFonts w:ascii="Arial" w:hAnsi="Arial"/>
                <w:b w:val="0"/>
                <w:sz w:val="19"/>
              </w:rPr>
              <w:t>EC7 UPL</w:t>
            </w:r>
          </w:p>
        </w:tc>
        <w:tc>
          <w:tcPr>
            <w:tcW w:type="dxa" w:w="1512"/>
          </w:tcPr>
          <w:p>
            <w:r>
              <w:rPr>
                <w:rFonts w:ascii="Arial" w:hAnsi="Arial"/>
                <w:b w:val="0"/>
                <w:sz w:val="19"/>
              </w:rPr>
              <w:t>0 kN</w:t>
            </w:r>
          </w:p>
        </w:tc>
        <w:tc>
          <w:tcPr>
            <w:tcW w:type="dxa" w:w="1512"/>
          </w:tcPr>
          <w:p>
            <w:r>
              <w:rPr>
                <w:rFonts w:ascii="Arial" w:hAnsi="Arial"/>
                <w:b w:val="0"/>
                <w:sz w:val="19"/>
              </w:rPr>
              <w:t>10.920 kN</w:t>
            </w:r>
          </w:p>
        </w:tc>
        <w:tc>
          <w:tcPr>
            <w:tcW w:type="dxa" w:w="1512"/>
          </w:tcPr>
          <w:p>
            <w:r>
              <w:rPr>
                <w:rFonts w:ascii="Arial" w:hAnsi="Arial"/>
                <w:b w:val="0"/>
                <w:sz w:val="19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rFonts w:ascii="Arial" w:hAnsi="Arial"/>
                <w:b w:val="0"/>
                <w:sz w:val="19"/>
              </w:rPr>
              <w:t>CUMPLE</w:t>
            </w:r>
          </w:p>
        </w:tc>
      </w:tr>
    </w:tbl>
    <w:p>
      <w:pPr>
        <w:jc w:val="left"/>
      </w:pPr>
      <w:r>
        <w:rPr>
          <w:i/>
          <w:color w:val="595959"/>
          <w:sz w:val="19"/>
        </w:rPr>
        <w:t>Tabla 7. Resumen de comprobaciones (η = E_d/R_d). Veredictos para el freático documentado.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439890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rov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3989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left"/>
      </w:pPr>
      <w:r>
        <w:rPr>
          <w:i/>
          <w:color w:val="595959"/>
          <w:sz w:val="19"/>
        </w:rPr>
        <w:t>Figura 3. Aprovechamientos por comprobación (límite η = 1,0).</w:t>
      </w:r>
    </w:p>
    <w:p>
      <w:pPr>
        <w:pStyle w:val="Heading1"/>
      </w:pPr>
      <w:r>
        <w:t>8. Conclusiones y limitaciones</w:t>
      </w:r>
    </w:p>
    <w:p>
      <w:r>
        <w:t>Con las hipótesis adoptadas, todos los elementos cumplen los estados límite con aprovechamiento máximo 0,82 (cortante del muro perimetral). El raft se ajusta a φ20/175 para satisfacer el límite de fisuración de estanqueidad (w_k = 0,179 ≤ 0,20 mm). La QA independiente confirma los esfuerzos dentro de tolerancia y resuelve el punto crítico de la losa de cubierta (el reparto del tándem por ancho eficaz resulta ligeramente conservador, no inseguro).</w:t>
      </w:r>
    </w:p>
    <w:p>
      <w:r>
        <w:t>Condiciones y gates pendientes de decisión/confirmación de JM antes de la firma: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bottom w:val="single" w:sz="4" w:space="0" w:color="BFBFBF"/>
          <w:insideH w:val="single" w:sz="4" w:space="0" w:color="BFBFBF"/>
          <w:left w:val="nil" w:sz="0" w:space="0" w:color="auto"/>
          <w:right w:val="nil" w:sz="0" w:space="0" w:color="auto"/>
          <w:insideV w:val="nil" w:sz="0" w:space="0" w:color="auto"/>
        </w:tblBorders>
      </w:tblPr>
      <w:tblGrid>
        <w:gridCol w:w="3024"/>
        <w:gridCol w:w="3024"/>
        <w:gridCol w:w="3024"/>
      </w:tblGrid>
      <w:tr>
        <w:trPr>
          <w:tblHeader w:val="true"/>
          <w:cantSplit w:val="true"/>
        </w:trPr>
        <w:tc>
          <w:tcPr>
            <w:tcW w:type="dxa" w:w="3024"/>
            <w:tcBorders>
              <w:left w:val="single" w:sz="4" w:space="0" w:color="9CB7D4"/>
              <w:right w:val="single" w:sz="4" w:space="0" w:color="9CB7D4"/>
            </w:tcBorders>
            <w:shd w:val="clear" w:fill="D9E2F3"/>
          </w:tcPr>
          <w:p>
            <w:r>
              <w:rPr>
                <w:rFonts w:ascii="Arial" w:hAnsi="Arial"/>
                <w:b/>
                <w:sz w:val="19"/>
              </w:rPr>
              <w:t>#</w:t>
            </w:r>
          </w:p>
        </w:tc>
        <w:tc>
          <w:tcPr>
            <w:tcW w:type="dxa" w:w="3024"/>
            <w:tcBorders>
              <w:left w:val="single" w:sz="4" w:space="0" w:color="9CB7D4"/>
              <w:right w:val="single" w:sz="4" w:space="0" w:color="9CB7D4"/>
            </w:tcBorders>
            <w:shd w:val="clear" w:fill="D9E2F3"/>
          </w:tcPr>
          <w:p>
            <w:r>
              <w:rPr>
                <w:rFonts w:ascii="Arial" w:hAnsi="Arial"/>
                <w:b/>
                <w:sz w:val="19"/>
              </w:rPr>
              <w:t>Gate</w:t>
            </w:r>
          </w:p>
        </w:tc>
        <w:tc>
          <w:tcPr>
            <w:tcW w:type="dxa" w:w="3024"/>
            <w:tcBorders>
              <w:left w:val="single" w:sz="4" w:space="0" w:color="9CB7D4"/>
              <w:right w:val="single" w:sz="4" w:space="0" w:color="9CB7D4"/>
            </w:tcBorders>
            <w:shd w:val="clear" w:fill="D9E2F3"/>
          </w:tcPr>
          <w:p>
            <w:r>
              <w:rPr>
                <w:rFonts w:ascii="Arial" w:hAnsi="Arial"/>
                <w:b/>
                <w:sz w:val="19"/>
              </w:rPr>
              <w:t>Acción requerida</w:t>
            </w:r>
          </w:p>
        </w:tc>
      </w:tr>
      <w:tr>
        <w:tc>
          <w:tcPr>
            <w:tcW w:type="dxa" w:w="3024"/>
          </w:tcPr>
          <w:p>
            <w:r>
              <w:rPr>
                <w:rFonts w:ascii="Arial" w:hAnsi="Arial"/>
                <w:b w:val="0"/>
                <w:sz w:val="19"/>
              </w:rPr>
              <w:t>G1</w:t>
            </w:r>
          </w:p>
        </w:tc>
        <w:tc>
          <w:tcPr>
            <w:tcW w:type="dxa" w:w="3024"/>
          </w:tcPr>
          <w:p>
            <w:r>
              <w:rPr>
                <w:rFonts w:ascii="Arial" w:hAnsi="Arial"/>
                <w:b w:val="0"/>
                <w:sz w:val="19"/>
              </w:rPr>
              <w:t>Cota de implantación (+146,40) y freático real en el punto</w:t>
            </w:r>
          </w:p>
        </w:tc>
        <w:tc>
          <w:tcPr>
            <w:tcW w:type="dxa" w:w="3024"/>
          </w:tcPr>
          <w:p>
            <w:r>
              <w:rPr>
                <w:rFonts w:ascii="Arial" w:hAnsi="Arial"/>
                <w:b w:val="0"/>
                <w:sz w:val="19"/>
              </w:rPr>
              <w:t>confirmar; si el freático sube, el vaso vacío flota (FS=0,65) → prever lastre/anclajes/válvula antisubpresión</w:t>
            </w:r>
          </w:p>
        </w:tc>
      </w:tr>
      <w:tr>
        <w:tc>
          <w:tcPr>
            <w:tcW w:type="dxa" w:w="3024"/>
          </w:tcPr>
          <w:p>
            <w:r>
              <w:rPr>
                <w:rFonts w:ascii="Arial" w:hAnsi="Arial"/>
                <w:b w:val="0"/>
                <w:sz w:val="19"/>
              </w:rPr>
              <w:t>G2</w:t>
            </w:r>
          </w:p>
        </w:tc>
        <w:tc>
          <w:tcPr>
            <w:tcW w:type="dxa" w:w="3024"/>
          </w:tcPr>
          <w:p>
            <w:r>
              <w:rPr>
                <w:rFonts w:ascii="Arial" w:hAnsi="Arial"/>
                <w:b w:val="0"/>
                <w:sz w:val="19"/>
              </w:rPr>
              <w:t>Esquema de la losa de cubierta (11,37 m, LM1)</w:t>
            </w:r>
          </w:p>
        </w:tc>
        <w:tc>
          <w:tcPr>
            <w:tcW w:type="dxa" w:w="3024"/>
          </w:tcPr>
          <w:p>
            <w:r>
              <w:rPr>
                <w:rFonts w:ascii="Arial" w:hAnsi="Arial"/>
                <w:b w:val="0"/>
                <w:sz w:val="19"/>
              </w:rPr>
              <w:t>valorar apoyo intermedio/canto: el armado es pesado (~1 %)</w:t>
            </w:r>
          </w:p>
        </w:tc>
      </w:tr>
      <w:tr>
        <w:tc>
          <w:tcPr>
            <w:tcW w:type="dxa" w:w="3024"/>
          </w:tcPr>
          <w:p>
            <w:r>
              <w:rPr>
                <w:rFonts w:ascii="Arial" w:hAnsi="Arial"/>
                <w:b w:val="0"/>
                <w:sz w:val="19"/>
              </w:rPr>
              <w:t>G3</w:t>
            </w:r>
          </w:p>
        </w:tc>
        <w:tc>
          <w:tcPr>
            <w:tcW w:type="dxa" w:w="3024"/>
          </w:tcPr>
          <w:p>
            <w:r>
              <w:rPr>
                <w:rFonts w:ascii="Arial" w:hAnsi="Arial"/>
                <w:b w:val="0"/>
                <w:sz w:val="19"/>
              </w:rPr>
              <w:t>Acción sísmica (EC8-4 hidrodinámico)</w:t>
            </w:r>
          </w:p>
        </w:tc>
        <w:tc>
          <w:tcPr>
            <w:tcW w:type="dxa" w:w="3024"/>
          </w:tcPr>
          <w:p>
            <w:r>
              <w:rPr>
                <w:rFonts w:ascii="Arial" w:hAnsi="Arial"/>
                <w:b w:val="0"/>
                <w:sz w:val="19"/>
              </w:rPr>
              <w:t>cuantificar combinación accidental [PENDIENTE]</w:t>
            </w:r>
          </w:p>
        </w:tc>
      </w:tr>
      <w:tr>
        <w:tc>
          <w:tcPr>
            <w:tcW w:type="dxa" w:w="3024"/>
          </w:tcPr>
          <w:p>
            <w:r>
              <w:rPr>
                <w:rFonts w:ascii="Arial" w:hAnsi="Arial"/>
                <w:b w:val="0"/>
                <w:sz w:val="19"/>
              </w:rPr>
              <w:t>G4</w:t>
            </w:r>
          </w:p>
        </w:tc>
        <w:tc>
          <w:tcPr>
            <w:tcW w:type="dxa" w:w="3024"/>
          </w:tcPr>
          <w:p>
            <w:r>
              <w:rPr>
                <w:rFonts w:ascii="Arial" w:hAnsi="Arial"/>
                <w:b w:val="0"/>
                <w:sz w:val="19"/>
              </w:rPr>
              <w:t>Coacción térmica/retracción + plan de hormigonado</w:t>
            </w:r>
          </w:p>
        </w:tc>
        <w:tc>
          <w:tcPr>
            <w:tcW w:type="dxa" w:w="3024"/>
          </w:tcPr>
          <w:p>
            <w:r>
              <w:rPr>
                <w:rFonts w:ascii="Arial" w:hAnsi="Arial"/>
                <w:b w:val="0"/>
                <w:sz w:val="19"/>
              </w:rPr>
              <w:t>tratada cualitativamente [PENDIENTE]</w:t>
            </w:r>
          </w:p>
        </w:tc>
      </w:tr>
      <w:tr>
        <w:tc>
          <w:tcPr>
            <w:tcW w:type="dxa" w:w="3024"/>
          </w:tcPr>
          <w:p>
            <w:r>
              <w:rPr>
                <w:rFonts w:ascii="Arial" w:hAnsi="Arial"/>
                <w:b w:val="0"/>
                <w:sz w:val="19"/>
              </w:rPr>
              <w:t>G5</w:t>
            </w:r>
          </w:p>
        </w:tc>
        <w:tc>
          <w:tcPr>
            <w:tcW w:type="dxa" w:w="3024"/>
          </w:tcPr>
          <w:p>
            <w:r>
              <w:rPr>
                <w:rFonts w:ascii="Arial" w:hAnsi="Arial"/>
                <w:b w:val="0"/>
                <w:sz w:val="19"/>
              </w:rPr>
              <w:t>versions.lock = 0.0.0</w:t>
            </w:r>
          </w:p>
        </w:tc>
        <w:tc>
          <w:tcPr>
            <w:tcW w:type="dxa" w:w="3024"/>
          </w:tcPr>
          <w:p>
            <w:r>
              <w:rPr>
                <w:rFonts w:ascii="Arial" w:hAnsi="Arial"/>
                <w:b w:val="0"/>
                <w:sz w:val="19"/>
              </w:rPr>
              <w:t>versión del núcleo NO anclada; cálculo con motor propio (reproducible)</w:t>
            </w:r>
          </w:p>
        </w:tc>
      </w:tr>
    </w:tbl>
    <w:p>
      <w:pPr>
        <w:jc w:val="left"/>
      </w:pPr>
      <w:r>
        <w:rPr>
          <w:i/>
          <w:color w:val="595959"/>
          <w:sz w:val="19"/>
        </w:rPr>
        <w:t>Tabla 8. Gates abiertos para la certificación de dos llaves.</w:t>
      </w:r>
    </w:p>
    <w:p>
      <w:pPr>
        <w:pStyle w:val="Heading1"/>
      </w:pPr>
      <w:r>
        <w:t>9. Anexos y trazabilidad</w:t>
      </w:r>
    </w:p>
    <w:p>
      <w:r>
        <w:t>Trazabilidad (entrada → versión → norma → resultado → oráculo): modelo IFC2X3 → lectura con ifcopenshell 0.8.5 → EC0/EC1/EC2/EC7/EN 1992-3/IAP-11 → resultados.json y memoria Markdown → verificación QA con oráculo independiente (analítico + placa 2D + Hetényi/BoEF). Casos golden candidatos: G-DEP-01 (muro), G-DEP-02 (punzonamiento, placa 2D), G-DEP-03 (flotación), G-DEP-04 (raft). Informe de QA: qa/informes/QA_deposito_decopak_2026-06-24.md.</w:t>
      </w:r>
    </w:p>
    <w:p>
      <w:pPr>
        <w:pStyle w:val="Heading1"/>
      </w:pPr>
      <w:r>
        <w:t>Firma</w:t>
      </w:r>
    </w:p>
    <w:p>
      <w:r>
        <w:t>El técnico competente abajo firmante asume la autoría y responsabilidad del presente cálculo tras su revisión. La asistencia de cálculo y la QA son herramientas de apoyo y no sustituyen la firma profesional.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bottom w:val="single" w:sz="4" w:space="0" w:color="BFBFBF"/>
          <w:insideH w:val="single" w:sz="4" w:space="0" w:color="BFBFBF"/>
          <w:left w:val="nil" w:sz="0" w:space="0" w:color="auto"/>
          <w:right w:val="nil" w:sz="0" w:space="0" w:color="auto"/>
          <w:insideV w:val="nil" w:sz="0" w:space="0" w:color="auto"/>
        </w:tblBorders>
      </w:tblPr>
      <w:tblGrid>
        <w:gridCol w:w="2268"/>
        <w:gridCol w:w="2268"/>
        <w:gridCol w:w="2268"/>
        <w:gridCol w:w="2268"/>
      </w:tblGrid>
      <w:tr>
        <w:trPr>
          <w:tblHeader w:val="true"/>
          <w:cantSplit w:val="true"/>
        </w:trPr>
        <w:tc>
          <w:tcPr>
            <w:tcW w:type="dxa" w:w="2268"/>
            <w:tcBorders>
              <w:left w:val="single" w:sz="4" w:space="0" w:color="9CB7D4"/>
              <w:right w:val="single" w:sz="4" w:space="0" w:color="9CB7D4"/>
            </w:tcBorders>
            <w:shd w:val="clear" w:fill="D9E2F3"/>
          </w:tcPr>
          <w:p>
            <w:r>
              <w:rPr>
                <w:rFonts w:ascii="Arial" w:hAnsi="Arial"/>
                <w:b/>
                <w:sz w:val="19"/>
              </w:rPr>
              <w:t>Función</w:t>
            </w:r>
          </w:p>
        </w:tc>
        <w:tc>
          <w:tcPr>
            <w:tcW w:type="dxa" w:w="2268"/>
            <w:tcBorders>
              <w:left w:val="single" w:sz="4" w:space="0" w:color="9CB7D4"/>
              <w:right w:val="single" w:sz="4" w:space="0" w:color="9CB7D4"/>
            </w:tcBorders>
            <w:shd w:val="clear" w:fill="D9E2F3"/>
          </w:tcPr>
          <w:p>
            <w:r>
              <w:rPr>
                <w:rFonts w:ascii="Arial" w:hAnsi="Arial"/>
                <w:b/>
                <w:sz w:val="19"/>
              </w:rPr>
              <w:t>Nombre</w:t>
            </w:r>
          </w:p>
        </w:tc>
        <w:tc>
          <w:tcPr>
            <w:tcW w:type="dxa" w:w="2268"/>
            <w:tcBorders>
              <w:left w:val="single" w:sz="4" w:space="0" w:color="9CB7D4"/>
              <w:right w:val="single" w:sz="4" w:space="0" w:color="9CB7D4"/>
            </w:tcBorders>
            <w:shd w:val="clear" w:fill="D9E2F3"/>
          </w:tcPr>
          <w:p>
            <w:r>
              <w:rPr>
                <w:rFonts w:ascii="Arial" w:hAnsi="Arial"/>
                <w:b/>
                <w:sz w:val="19"/>
              </w:rPr>
              <w:t>Colegiado</w:t>
            </w:r>
          </w:p>
        </w:tc>
        <w:tc>
          <w:tcPr>
            <w:tcW w:type="dxa" w:w="2268"/>
            <w:tcBorders>
              <w:left w:val="single" w:sz="4" w:space="0" w:color="9CB7D4"/>
              <w:right w:val="single" w:sz="4" w:space="0" w:color="9CB7D4"/>
            </w:tcBorders>
            <w:shd w:val="clear" w:fill="D9E2F3"/>
          </w:tcPr>
          <w:p>
            <w:r>
              <w:rPr>
                <w:rFonts w:ascii="Arial" w:hAnsi="Arial"/>
                <w:b/>
                <w:sz w:val="19"/>
              </w:rPr>
              <w:t>Fecha / Firma</w:t>
            </w:r>
          </w:p>
        </w:tc>
      </w:tr>
      <w:tr>
        <w:tc>
          <w:tcPr>
            <w:tcW w:type="dxa" w:w="2268"/>
          </w:tcPr>
          <w:p>
            <w:r>
              <w:rPr>
                <w:rFonts w:ascii="Arial" w:hAnsi="Arial"/>
                <w:b w:val="0"/>
                <w:sz w:val="19"/>
              </w:rPr>
              <w:t>Autor y firmante (ICCP)</w:t>
            </w:r>
          </w:p>
        </w:tc>
        <w:tc>
          <w:tcPr>
            <w:tcW w:type="dxa" w:w="2268"/>
          </w:tcPr>
          <w:p>
            <w:r>
              <w:rPr>
                <w:rFonts w:ascii="Arial" w:hAnsi="Arial"/>
                <w:b w:val="0"/>
                <w:sz w:val="19"/>
              </w:rPr>
              <w:t>JM</w:t>
            </w:r>
          </w:p>
        </w:tc>
        <w:tc>
          <w:tcPr>
            <w:tcW w:type="dxa" w:w="2268"/>
          </w:tcPr>
          <w:p>
            <w:r>
              <w:rPr>
                <w:rFonts w:ascii="Arial" w:hAnsi="Arial"/>
                <w:b w:val="0"/>
                <w:sz w:val="19"/>
              </w:rPr>
              <w:t>Col. [____]</w:t>
            </w:r>
          </w:p>
        </w:tc>
        <w:tc>
          <w:tcPr>
            <w:tcW w:type="dxa" w:w="2268"/>
          </w:tcPr>
          <w:p>
            <w:r>
              <w:rPr>
                <w:rFonts w:ascii="Arial" w:hAnsi="Arial"/>
                <w:b w:val="0"/>
                <w:sz w:val="19"/>
              </w:rPr>
              <w:t>____ / ________________</w:t>
            </w:r>
          </w:p>
        </w:tc>
      </w:tr>
    </w:tbl>
    <w:p>
      <w:pPr>
        <w:jc w:val="left"/>
      </w:pPr>
      <w:r>
        <w:rPr>
          <w:i/>
          <w:color w:val="595959"/>
          <w:sz w:val="19"/>
        </w:rPr>
        <w:t>La certificación queda completada con golden verde + informe de QA limpio + esta firma (dos llaves).</w:t>
      </w:r>
    </w:p>
    <w:p/>
    <w:p>
      <w:pPr>
        <w:pBdr>
          <w:bottom w:val="single" w:sz="8" w:space="4" w:color="B00000"/>
        </w:pBdr>
      </w:pPr>
      <w:r>
        <w:rPr>
          <w:i/>
          <w:color w:val="B00000"/>
          <w:sz w:val="19"/>
        </w:rPr>
        <w:t>Documento de predimensionado sujeto a revisión y firma. Trazabilidad: resultados.json, calc_deposito.py e informe de QA. La IA opera; JM firma.</w:t>
      </w:r>
    </w:p>
    <w:sectPr w:rsidR="00FC693F" w:rsidRPr="0006063C" w:rsidSect="00034616">
      <w:headerReference w:type="default" r:id="rId12"/>
      <w:footerReference w:type="default" r:id="rId13"/>
      <w:pgSz w:w="11906" w:h="16838"/>
      <w:pgMar w:top="1417" w:right="1417" w:bottom="141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</w:pPr>
    <w:r/>
    <w:r>
      <w:rPr>
        <w:color w:val="595959"/>
        <w:sz w:val="17"/>
      </w:rPr>
      <w:t>JM · ICCP . Predimensionado</w:t>
      <w:tab/>
    </w:r>
    <w:r>
      <w:rPr>
        <w:color w:val="595959"/>
        <w:sz w:val="17"/>
      </w:rPr>
      <w:t xml:space="preserve">Pag. </w:t>
    </w:r>
    <w:r>
      <w:fldChar w:fldCharType="begin"/>
      <w:instrText xml:space="preserve">PAGE</w:instrText>
      <w:fldChar w:fldCharType="separate"/>
      <w:t>-</w:t>
      <w:fldChar w:fldCharType="end"/>
    </w:r>
    <w:r>
      <w:rPr>
        <w:color w:val="595959"/>
        <w:sz w:val="17"/>
      </w:rPr>
      <w:t xml:space="preserve"> de </w:t>
    </w:r>
    <w:r>
      <w:fldChar w:fldCharType="begin"/>
      <w:instrText xml:space="preserve">NUMPAGES</w:instrText>
      <w:fldChar w:fldCharType="separate"/>
      <w:t>-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1F4E79"/>
      </w:pBdr>
    </w:pPr>
    <w:r/>
    <w:r>
      <w:rPr>
        <w:color w:val="595959"/>
        <w:sz w:val="17"/>
      </w:rPr>
      <w:t>Depósito enterrado Decopak · Estructuras — Memoria de cálculo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Rule="auto" w:line="276"/>
      <w:jc w:val="both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jc w:val="left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jc w:val="left"/>
      <w:outlineLvl w:val="1"/>
    </w:pPr>
    <w:rPr>
      <w:rFonts w:asciiTheme="majorHAnsi" w:eastAsiaTheme="majorEastAsia" w:hAnsiTheme="majorHAnsi" w:cstheme="majorBidi" w:ascii="Arial" w:hAnsi="Arial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jc w:val="left"/>
      <w:outlineLvl w:val="2"/>
    </w:pPr>
    <w:rPr>
      <w:rFonts w:asciiTheme="majorHAnsi" w:eastAsiaTheme="majorEastAsia" w:hAnsiTheme="majorHAnsi" w:cstheme="majorBidi" w:ascii="Arial" w:hAnsi="Arial"/>
      <w:b/>
      <w:bCs/>
      <w:color w:val="1F4E7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header" Target="header1.xml"/><Relationship Id="rId1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