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Bdr>
          <w:bottom w:val="single" w:sz="12" w:space="4" w:color="1F4E79"/>
        </w:pBdr>
      </w:pPr>
      <w:r>
        <w:rPr>
          <w:b/>
          <w:color w:val="1F4E79"/>
          <w:sz w:val="60"/>
        </w:rPr>
        <w:t>MEMORIA DE CÁLCULO</w:t>
      </w:r>
    </w:p>
    <w:p>
      <w:r>
        <w:rPr>
          <w:color w:val="595959"/>
          <w:sz w:val="32"/>
        </w:rPr>
        <w:t>Depósito enterrado de hormigón armado — Decopak (Rubí, Barcelona)</w:t>
      </w:r>
    </w:p>
    <w:p>
      <w:pPr>
        <w:spacing w:before="120" w:after="120"/>
        <w:jc w:val="left"/>
      </w:pPr>
      <w:r>
        <w:rPr>
          <w:b/>
          <w:color w:val="1F4E79"/>
          <w:sz w:val="26"/>
        </w:rPr>
        <w:t xml:space="preserve">VEREDICTO GLOBAL:  </w:t>
      </w:r>
      <w:r>
        <w:rPr>
          <w:b/>
          <w:color w:val="2E7D32"/>
          <w:sz w:val="26"/>
        </w:rPr>
        <w:t>FAVORABLE CON CONDICIONES — aprov. máx. 0,70 · QA verde con observaciones</w:t>
      </w:r>
    </w:p>
    <w:p/>
    <w:tbl>
      <w:tblPr>
        <w:tblW w:type="auto" w:w="0"/>
        <w:tblLook w:firstColumn="1" w:firstRow="1" w:lastColumn="0" w:lastRow="0" w:noHBand="0" w:noVBand="1" w:val="04A0"/>
      </w:tblPr>
      <w:tblGrid>
        <w:gridCol w:w="4536"/>
        <w:gridCol w:w="4536"/>
      </w:tblGrid>
      <w:tr>
        <w:tc>
          <w:tcPr>
            <w:tcW w:type="dxa" w:w="2551"/>
          </w:tcPr>
          <w:p>
            <w:r>
              <w:rPr>
                <w:b/>
              </w:rPr>
              <w:t>Proyecto</w:t>
            </w:r>
          </w:p>
        </w:tc>
        <w:tc>
          <w:tcPr>
            <w:tcW w:type="dxa" w:w="6520"/>
          </w:tcPr>
          <w:p>
            <w:r>
              <w:t>Edificio industrial Decopak · Depósito enterrado</w:t>
            </w:r>
          </w:p>
        </w:tc>
      </w:tr>
      <w:tr>
        <w:tc>
          <w:tcPr>
            <w:tcW w:type="dxa" w:w="2551"/>
          </w:tcPr>
          <w:p>
            <w:r>
              <w:rPr>
                <w:b/>
              </w:rPr>
              <w:t>Disciplina / elemento</w:t>
            </w:r>
          </w:p>
        </w:tc>
        <w:tc>
          <w:tcPr>
            <w:tcW w:type="dxa" w:w="6520"/>
          </w:tcPr>
          <w:p>
            <w:r>
              <w:t>Estructuras · cajón estanco de HA (cajón monolítico)</w:t>
            </w:r>
          </w:p>
        </w:tc>
      </w:tr>
      <w:tr>
        <w:tc>
          <w:tcPr>
            <w:tcW w:type="dxa" w:w="2551"/>
          </w:tcPr>
          <w:p>
            <w:r>
              <w:rPr>
                <w:b/>
              </w:rPr>
              <w:t>Modelo de partida</w:t>
            </w:r>
          </w:p>
        </w:tc>
        <w:tc>
          <w:tcPr>
            <w:tcW w:type="dxa" w:w="6520"/>
          </w:tcPr>
          <w:p>
            <w:r>
              <w:t>DepositoDecopakEnterrado.ifc (IFC2X3, Revit 2026)</w:t>
            </w:r>
          </w:p>
        </w:tc>
      </w:tr>
      <w:tr>
        <w:tc>
          <w:tcPr>
            <w:tcW w:type="dxa" w:w="2551"/>
          </w:tcPr>
          <w:p>
            <w:r>
              <w:rPr>
                <w:b/>
              </w:rPr>
              <w:t>Autor / firmante</w:t>
            </w:r>
          </w:p>
        </w:tc>
        <w:tc>
          <w:tcPr>
            <w:tcW w:type="dxa" w:w="6520"/>
          </w:tcPr>
          <w:p>
            <w:r>
              <w:t>JM — Ing. de Caminos (ICCP) · Col. [____]</w:t>
            </w:r>
          </w:p>
        </w:tc>
      </w:tr>
      <w:tr>
        <w:tc>
          <w:tcPr>
            <w:tcW w:type="dxa" w:w="2551"/>
          </w:tcPr>
          <w:p>
            <w:r>
              <w:rPr>
                <w:b/>
              </w:rPr>
              <w:t>Producción / verificación</w:t>
            </w:r>
          </w:p>
        </w:tc>
        <w:tc>
          <w:tcPr>
            <w:tcW w:type="dxa" w:w="6520"/>
          </w:tcPr>
          <w:p>
            <w:r>
              <w:t>Cálculo asistido (build) + QA independiente (run separado)</w:t>
            </w:r>
          </w:p>
        </w:tc>
      </w:tr>
      <w:tr>
        <w:tc>
          <w:tcPr>
            <w:tcW w:type="dxa" w:w="2551"/>
          </w:tcPr>
          <w:p>
            <w:r>
              <w:rPr>
                <w:b/>
              </w:rPr>
              <w:t>Fecha / Revisión</w:t>
            </w:r>
          </w:p>
        </w:tc>
        <w:tc>
          <w:tcPr>
            <w:tcW w:type="dxa" w:w="6520"/>
          </w:tcPr>
          <w:p>
            <w:r>
              <w:t>24/06/2026 · Rev. 02 — unión rígida, modelo único consistente</w:t>
            </w:r>
          </w:p>
        </w:tc>
      </w:tr>
    </w:tbl>
    <w:p/>
    <w:p/>
    <w:p>
      <w:pPr>
        <w:pBdr>
          <w:bottom w:val="single" w:sz="8" w:space="4" w:color="B00000"/>
        </w:pBdr>
      </w:pPr>
      <w:r>
        <w:rPr>
          <w:i/>
          <w:color w:val="B00000"/>
          <w:sz w:val="19"/>
        </w:rPr>
        <w:t>Documento de PREDIMENSIONADO / ASISTENCIA AL CALCULO. Debe ser revisado y firmado por tecnico competente antes de su uso. Parametros sujetos al Anejo Nacional marcados [confirmar AN].</w:t>
      </w:r>
    </w:p>
    <w:p>
      <w:r>
        <w:br w:type="page"/>
      </w:r>
    </w:p>
    <w:p>
      <w:pPr>
        <w:pStyle w:val="Heading1"/>
      </w:pPr>
      <w:r>
        <w:t>Indice</w:t>
      </w:r>
    </w:p>
    <w:p>
      <w:r>
        <w:fldChar w:fldCharType="begin"/>
        <w:instrText xml:space="preserve">TOC \o "1-3" \h \z \u</w:instrText>
        <w:fldChar w:fldCharType="separate"/>
        <w:t>-</w:t>
        <w:fldChar w:fldCharType="end"/>
      </w:r>
    </w:p>
    <w:p>
      <w:r>
        <w:br w:type="page"/>
      </w:r>
    </w:p>
    <w:p>
      <w:pPr>
        <w:pStyle w:val="Heading1"/>
      </w:pPr>
      <w:r>
        <w:t>1. Objeto y alcance</w:t>
      </w:r>
    </w:p>
    <w:p>
      <w:r>
        <w:t>Predimensionado estructural del depósito enterrado de HA de Decopak (Rubí) a partir del modelo IFC, según Eurocódigos + AN español y EN 1992-3. La unión muro-losa se considera RÍGIDA (monolítica): el conjunto solera–muros–cubierta trabaja como cajón cerrado y la cubierta como placa 2D bidireccional continua con los muros (igual que la solera).</w:t>
      </w:r>
    </w:p>
    <w:p>
      <w:r>
        <w:t>Documento de PREDIMENSIONADO / ASISTENCIA AL CÁLCULO, para revisión y firma de técnico competente. La Rev.01 (que combinaba el vano de placa empotrada con la esquina de pórtico flexible) fue marcada ROJO por la QA independiente; esta Rev.02 lo corrige con un único modelo consistente (placa 2D con muelles rotacionales = rigidez real del muro). Procede re-verificar la Rev.02 (ver §8). Certificación: golden verde + QA limpia + firma de JM (dos llaves).</w:t>
      </w:r>
    </w:p>
    <w:p>
      <w:pPr>
        <w:pStyle w:val="Heading1"/>
      </w:pPr>
      <w:r>
        <w:t>2. Normativa</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4536"/>
        <w:gridCol w:w="4536"/>
      </w:tblGrid>
      <w:tr>
        <w:trPr>
          <w:tblHeader w:val="true"/>
          <w:cantSplit w:val="true"/>
        </w:trPr>
        <w:tc>
          <w:tcPr>
            <w:tcW w:type="dxa" w:w="4536"/>
            <w:tcBorders>
              <w:left w:val="single" w:sz="4" w:space="0" w:color="9CB7D4"/>
              <w:right w:val="single" w:sz="4" w:space="0" w:color="9CB7D4"/>
            </w:tcBorders>
            <w:shd w:val="clear" w:fill="D9E2F3"/>
          </w:tcPr>
          <w:p>
            <w:r>
              <w:rPr>
                <w:rFonts w:ascii="Arial" w:hAnsi="Arial"/>
                <w:b/>
                <w:sz w:val="19"/>
              </w:rPr>
              <w:t>Documento</w:t>
            </w:r>
          </w:p>
        </w:tc>
        <w:tc>
          <w:tcPr>
            <w:tcW w:type="dxa" w:w="4536"/>
            <w:tcBorders>
              <w:left w:val="single" w:sz="4" w:space="0" w:color="9CB7D4"/>
              <w:right w:val="single" w:sz="4" w:space="0" w:color="9CB7D4"/>
            </w:tcBorders>
            <w:shd w:val="clear" w:fill="D9E2F3"/>
          </w:tcPr>
          <w:p>
            <w:r>
              <w:rPr>
                <w:rFonts w:ascii="Arial" w:hAnsi="Arial"/>
                <w:b/>
                <w:sz w:val="19"/>
              </w:rPr>
              <w:t>Aplicación</w:t>
            </w:r>
          </w:p>
        </w:tc>
      </w:tr>
      <w:tr>
        <w:tc>
          <w:tcPr>
            <w:tcW w:type="dxa" w:w="4536"/>
          </w:tcPr>
          <w:p>
            <w:r>
              <w:rPr>
                <w:rFonts w:ascii="Arial" w:hAnsi="Arial"/>
                <w:b w:val="0"/>
                <w:sz w:val="19"/>
              </w:rPr>
              <w:t>UNE-EN 1990 (EC0) + AN</w:t>
            </w:r>
          </w:p>
        </w:tc>
        <w:tc>
          <w:tcPr>
            <w:tcW w:type="dxa" w:w="4536"/>
          </w:tcPr>
          <w:p>
            <w:r>
              <w:rPr>
                <w:rFonts w:ascii="Arial" w:hAnsi="Arial"/>
                <w:b w:val="0"/>
                <w:sz w:val="19"/>
              </w:rPr>
              <w:t>Bases de cálculo y combinaciones (ELU/ELS)</w:t>
            </w:r>
          </w:p>
        </w:tc>
      </w:tr>
      <w:tr>
        <w:tc>
          <w:tcPr>
            <w:tcW w:type="dxa" w:w="4536"/>
          </w:tcPr>
          <w:p>
            <w:r>
              <w:rPr>
                <w:rFonts w:ascii="Arial" w:hAnsi="Arial"/>
                <w:b w:val="0"/>
                <w:sz w:val="19"/>
              </w:rPr>
              <w:t>UNE-EN 1991 (EC1) + AN</w:t>
            </w:r>
          </w:p>
        </w:tc>
        <w:tc>
          <w:tcPr>
            <w:tcW w:type="dxa" w:w="4536"/>
          </w:tcPr>
          <w:p>
            <w:r>
              <w:rPr>
                <w:rFonts w:ascii="Arial" w:hAnsi="Arial"/>
                <w:b w:val="0"/>
                <w:sz w:val="19"/>
              </w:rPr>
              <w:t>Acciones: peso propio, empujes, sobrecargas</w:t>
            </w:r>
          </w:p>
        </w:tc>
      </w:tr>
      <w:tr>
        <w:tc>
          <w:tcPr>
            <w:tcW w:type="dxa" w:w="4536"/>
          </w:tcPr>
          <w:p>
            <w:r>
              <w:rPr>
                <w:rFonts w:ascii="Arial" w:hAnsi="Arial"/>
                <w:b w:val="0"/>
                <w:sz w:val="19"/>
              </w:rPr>
              <w:t>UNE-EN 1992-1-1 (EC2) + AN</w:t>
            </w:r>
          </w:p>
        </w:tc>
        <w:tc>
          <w:tcPr>
            <w:tcW w:type="dxa" w:w="4536"/>
          </w:tcPr>
          <w:p>
            <w:r>
              <w:rPr>
                <w:rFonts w:ascii="Arial" w:hAnsi="Arial"/>
                <w:b w:val="0"/>
                <w:sz w:val="19"/>
              </w:rPr>
              <w:t>Hormigón armado: flexión, cortante, punzonamiento, fisuración</w:t>
            </w:r>
          </w:p>
        </w:tc>
      </w:tr>
      <w:tr>
        <w:tc>
          <w:tcPr>
            <w:tcW w:type="dxa" w:w="4536"/>
          </w:tcPr>
          <w:p>
            <w:r>
              <w:rPr>
                <w:rFonts w:ascii="Arial" w:hAnsi="Arial"/>
                <w:b w:val="0"/>
                <w:sz w:val="19"/>
              </w:rPr>
              <w:t>UNE-EN 1992-3</w:t>
            </w:r>
          </w:p>
        </w:tc>
        <w:tc>
          <w:tcPr>
            <w:tcW w:type="dxa" w:w="4536"/>
          </w:tcPr>
          <w:p>
            <w:r>
              <w:rPr>
                <w:rFonts w:ascii="Arial" w:hAnsi="Arial"/>
                <w:b w:val="0"/>
                <w:sz w:val="19"/>
              </w:rPr>
              <w:t>Depósitos / contención de líquidos (estanqueidad)</w:t>
            </w:r>
          </w:p>
        </w:tc>
      </w:tr>
      <w:tr>
        <w:tc>
          <w:tcPr>
            <w:tcW w:type="dxa" w:w="4536"/>
          </w:tcPr>
          <w:p>
            <w:r>
              <w:rPr>
                <w:rFonts w:ascii="Arial" w:hAnsi="Arial"/>
                <w:b w:val="0"/>
                <w:sz w:val="19"/>
              </w:rPr>
              <w:t>UNE-EN 1997 (EC7) + AN</w:t>
            </w:r>
          </w:p>
        </w:tc>
        <w:tc>
          <w:tcPr>
            <w:tcW w:type="dxa" w:w="4536"/>
          </w:tcPr>
          <w:p>
            <w:r>
              <w:rPr>
                <w:rFonts w:ascii="Arial" w:hAnsi="Arial"/>
                <w:b w:val="0"/>
                <w:sz w:val="19"/>
              </w:rPr>
              <w:t>Empuje de tierras, capacidad portante, flotación (UPL)</w:t>
            </w:r>
          </w:p>
        </w:tc>
      </w:tr>
      <w:tr>
        <w:tc>
          <w:tcPr>
            <w:tcW w:type="dxa" w:w="4536"/>
          </w:tcPr>
          <w:p>
            <w:r>
              <w:rPr>
                <w:rFonts w:ascii="Arial" w:hAnsi="Arial"/>
                <w:b w:val="0"/>
                <w:sz w:val="19"/>
              </w:rPr>
              <w:t>IAP-11</w:t>
            </w:r>
          </w:p>
        </w:tc>
        <w:tc>
          <w:tcPr>
            <w:tcW w:type="dxa" w:w="4536"/>
          </w:tcPr>
          <w:p>
            <w:r>
              <w:rPr>
                <w:rFonts w:ascii="Arial" w:hAnsi="Arial"/>
                <w:b w:val="0"/>
                <w:sz w:val="19"/>
              </w:rPr>
              <w:t>Tráfico en la losa de cubierta (LM1)</w:t>
            </w:r>
          </w:p>
        </w:tc>
      </w:tr>
      <w:tr>
        <w:tc>
          <w:tcPr>
            <w:tcW w:type="dxa" w:w="4536"/>
          </w:tcPr>
          <w:p>
            <w:r>
              <w:rPr>
                <w:rFonts w:ascii="Arial" w:hAnsi="Arial"/>
                <w:b w:val="0"/>
                <w:sz w:val="19"/>
              </w:rPr>
              <w:t>UNE-EN 1998 (EC8) / NCSE</w:t>
            </w:r>
          </w:p>
        </w:tc>
        <w:tc>
          <w:tcPr>
            <w:tcW w:type="dxa" w:w="4536"/>
          </w:tcPr>
          <w:p>
            <w:r>
              <w:rPr>
                <w:rFonts w:ascii="Arial" w:hAnsi="Arial"/>
                <w:b w:val="0"/>
                <w:sz w:val="19"/>
              </w:rPr>
              <w:t>Acción sísmica (ac = 0,046 g) — [PENDIENTE]</w:t>
            </w:r>
          </w:p>
        </w:tc>
      </w:tr>
    </w:tbl>
    <w:p>
      <w:pPr>
        <w:jc w:val="left"/>
      </w:pPr>
      <w:r>
        <w:rPr>
          <w:i/>
          <w:color w:val="595959"/>
          <w:sz w:val="19"/>
        </w:rPr>
        <w:t>Tabla 1. Marco normativo.</w:t>
      </w:r>
    </w:p>
    <w:p>
      <w:pPr>
        <w:pStyle w:val="Heading1"/>
      </w:pPr>
      <w:r>
        <w:t>3. Datos de partida</w:t>
      </w:r>
    </w:p>
    <w:p>
      <w:pPr>
        <w:pStyle w:val="Heading2"/>
      </w:pPr>
      <w:r>
        <w:t>3.1 Geometría (del IFC)</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2268"/>
        <w:gridCol w:w="2268"/>
        <w:gridCol w:w="2268"/>
        <w:gridCol w:w="2268"/>
      </w:tblGrid>
      <w:tr>
        <w:trPr>
          <w:tblHeader w:val="true"/>
          <w:cantSplit w:val="true"/>
        </w:trPr>
        <w:tc>
          <w:tcPr>
            <w:tcW w:type="dxa" w:w="2268"/>
            <w:tcBorders>
              <w:left w:val="single" w:sz="4" w:space="0" w:color="9CB7D4"/>
              <w:right w:val="single" w:sz="4" w:space="0" w:color="9CB7D4"/>
            </w:tcBorders>
            <w:shd w:val="clear" w:fill="D9E2F3"/>
          </w:tcPr>
          <w:p>
            <w:r>
              <w:rPr>
                <w:rFonts w:ascii="Arial" w:hAnsi="Arial"/>
                <w:b/>
                <w:sz w:val="19"/>
              </w:rPr>
              <w:t>Elemento</w:t>
            </w:r>
          </w:p>
        </w:tc>
        <w:tc>
          <w:tcPr>
            <w:tcW w:type="dxa" w:w="2268"/>
            <w:tcBorders>
              <w:left w:val="single" w:sz="4" w:space="0" w:color="9CB7D4"/>
              <w:right w:val="single" w:sz="4" w:space="0" w:color="9CB7D4"/>
            </w:tcBorders>
            <w:shd w:val="clear" w:fill="D9E2F3"/>
          </w:tcPr>
          <w:p>
            <w:r>
              <w:rPr>
                <w:rFonts w:ascii="Arial" w:hAnsi="Arial"/>
                <w:b/>
                <w:sz w:val="19"/>
              </w:rPr>
              <w:t>Espesor</w:t>
            </w:r>
          </w:p>
        </w:tc>
        <w:tc>
          <w:tcPr>
            <w:tcW w:type="dxa" w:w="2268"/>
            <w:tcBorders>
              <w:left w:val="single" w:sz="4" w:space="0" w:color="9CB7D4"/>
              <w:right w:val="single" w:sz="4" w:space="0" w:color="9CB7D4"/>
            </w:tcBorders>
            <w:shd w:val="clear" w:fill="D9E2F3"/>
          </w:tcPr>
          <w:p>
            <w:r>
              <w:rPr>
                <w:rFonts w:ascii="Arial" w:hAnsi="Arial"/>
                <w:b/>
                <w:sz w:val="19"/>
              </w:rPr>
              <w:t>Dimensión principal</w:t>
            </w:r>
          </w:p>
        </w:tc>
        <w:tc>
          <w:tcPr>
            <w:tcW w:type="dxa" w:w="2268"/>
            <w:tcBorders>
              <w:left w:val="single" w:sz="4" w:space="0" w:color="9CB7D4"/>
              <w:right w:val="single" w:sz="4" w:space="0" w:color="9CB7D4"/>
            </w:tcBorders>
            <w:shd w:val="clear" w:fill="D9E2F3"/>
          </w:tcPr>
          <w:p>
            <w:r>
              <w:rPr>
                <w:rFonts w:ascii="Arial" w:hAnsi="Arial"/>
                <w:b/>
                <w:sz w:val="19"/>
              </w:rPr>
              <w:t>Cota Z (msnm)</w:t>
            </w:r>
          </w:p>
        </w:tc>
      </w:tr>
      <w:tr>
        <w:tc>
          <w:tcPr>
            <w:tcW w:type="dxa" w:w="2268"/>
          </w:tcPr>
          <w:p>
            <w:r>
              <w:rPr>
                <w:rFonts w:ascii="Arial" w:hAnsi="Arial"/>
                <w:b w:val="0"/>
                <w:sz w:val="19"/>
              </w:rPr>
              <w:t>Losa de fondo (raft)</w:t>
            </w:r>
          </w:p>
        </w:tc>
        <w:tc>
          <w:tcPr>
            <w:tcW w:type="dxa" w:w="2268"/>
          </w:tcPr>
          <w:p>
            <w:r>
              <w:rPr>
                <w:rFonts w:ascii="Arial" w:hAnsi="Arial"/>
                <w:b w:val="0"/>
                <w:sz w:val="19"/>
              </w:rPr>
              <w:t>0,60 m</w:t>
            </w:r>
          </w:p>
        </w:tc>
        <w:tc>
          <w:tcPr>
            <w:tcW w:type="dxa" w:w="2268"/>
          </w:tcPr>
          <w:p>
            <w:r>
              <w:rPr>
                <w:rFonts w:ascii="Arial" w:hAnsi="Arial"/>
                <w:b w:val="0"/>
                <w:sz w:val="19"/>
              </w:rPr>
              <w:t>A ≈ 302,8 m²</w:t>
            </w:r>
          </w:p>
        </w:tc>
        <w:tc>
          <w:tcPr>
            <w:tcW w:type="dxa" w:w="2268"/>
          </w:tcPr>
          <w:p>
            <w:r>
              <w:rPr>
                <w:rFonts w:ascii="Arial" w:hAnsi="Arial"/>
                <w:b w:val="0"/>
                <w:sz w:val="19"/>
              </w:rPr>
              <w:t>146,40 → 147,00</w:t>
            </w:r>
          </w:p>
        </w:tc>
      </w:tr>
      <w:tr>
        <w:tc>
          <w:tcPr>
            <w:tcW w:type="dxa" w:w="2268"/>
          </w:tcPr>
          <w:p>
            <w:r>
              <w:rPr>
                <w:rFonts w:ascii="Arial" w:hAnsi="Arial"/>
                <w:b w:val="0"/>
                <w:sz w:val="19"/>
              </w:rPr>
              <w:t>Muros perimetrales (×4)</w:t>
            </w:r>
          </w:p>
        </w:tc>
        <w:tc>
          <w:tcPr>
            <w:tcW w:type="dxa" w:w="2268"/>
          </w:tcPr>
          <w:p>
            <w:r>
              <w:rPr>
                <w:rFonts w:ascii="Arial" w:hAnsi="Arial"/>
                <w:b w:val="0"/>
                <w:sz w:val="19"/>
              </w:rPr>
              <w:t>0,50 m</w:t>
            </w:r>
          </w:p>
        </w:tc>
        <w:tc>
          <w:tcPr>
            <w:tcW w:type="dxa" w:w="2268"/>
          </w:tcPr>
          <w:p>
            <w:r>
              <w:rPr>
                <w:rFonts w:ascii="Arial" w:hAnsi="Arial"/>
                <w:b w:val="0"/>
                <w:sz w:val="19"/>
              </w:rPr>
              <w:t>2 largos ≈21,5 m · 2 testeros ≈10,5 m; h=4,35 m</w:t>
            </w:r>
          </w:p>
        </w:tc>
        <w:tc>
          <w:tcPr>
            <w:tcW w:type="dxa" w:w="2268"/>
          </w:tcPr>
          <w:p>
            <w:r>
              <w:rPr>
                <w:rFonts w:ascii="Arial" w:hAnsi="Arial"/>
                <w:b w:val="0"/>
                <w:sz w:val="19"/>
              </w:rPr>
              <w:t>147,00 → 151,35</w:t>
            </w:r>
          </w:p>
        </w:tc>
      </w:tr>
      <w:tr>
        <w:tc>
          <w:tcPr>
            <w:tcW w:type="dxa" w:w="2268"/>
          </w:tcPr>
          <w:p>
            <w:r>
              <w:rPr>
                <w:rFonts w:ascii="Arial" w:hAnsi="Arial"/>
                <w:b w:val="0"/>
                <w:sz w:val="19"/>
              </w:rPr>
              <w:t>Muro interior (compartim.)</w:t>
            </w:r>
          </w:p>
        </w:tc>
        <w:tc>
          <w:tcPr>
            <w:tcW w:type="dxa" w:w="2268"/>
          </w:tcPr>
          <w:p>
            <w:r>
              <w:rPr>
                <w:rFonts w:ascii="Arial" w:hAnsi="Arial"/>
                <w:b w:val="0"/>
                <w:sz w:val="19"/>
              </w:rPr>
              <w:t>0,50 m</w:t>
            </w:r>
          </w:p>
        </w:tc>
        <w:tc>
          <w:tcPr>
            <w:tcW w:type="dxa" w:w="2268"/>
          </w:tcPr>
          <w:p>
            <w:r>
              <w:rPr>
                <w:rFonts w:ascii="Arial" w:hAnsi="Arial"/>
                <w:b w:val="0"/>
                <w:sz w:val="19"/>
              </w:rPr>
              <w:t>L ≈ 10,4 m; h=4,35 m</w:t>
            </w:r>
          </w:p>
        </w:tc>
        <w:tc>
          <w:tcPr>
            <w:tcW w:type="dxa" w:w="2268"/>
          </w:tcPr>
          <w:p>
            <w:r>
              <w:rPr>
                <w:rFonts w:ascii="Arial" w:hAnsi="Arial"/>
                <w:b w:val="0"/>
                <w:sz w:val="19"/>
              </w:rPr>
              <w:t>147,00 → 151,35</w:t>
            </w:r>
          </w:p>
        </w:tc>
      </w:tr>
      <w:tr>
        <w:tc>
          <w:tcPr>
            <w:tcW w:type="dxa" w:w="2268"/>
          </w:tcPr>
          <w:p>
            <w:r>
              <w:rPr>
                <w:rFonts w:ascii="Arial" w:hAnsi="Arial"/>
                <w:b w:val="0"/>
                <w:sz w:val="19"/>
              </w:rPr>
              <w:t>Losa de cubierta</w:t>
            </w:r>
          </w:p>
        </w:tc>
        <w:tc>
          <w:tcPr>
            <w:tcW w:type="dxa" w:w="2268"/>
          </w:tcPr>
          <w:p>
            <w:r>
              <w:rPr>
                <w:rFonts w:ascii="Arial" w:hAnsi="Arial"/>
                <w:b w:val="0"/>
                <w:sz w:val="19"/>
              </w:rPr>
              <w:t>0,60 / 0,70 m</w:t>
            </w:r>
          </w:p>
        </w:tc>
        <w:tc>
          <w:tcPr>
            <w:tcW w:type="dxa" w:w="2268"/>
          </w:tcPr>
          <w:p>
            <w:r>
              <w:rPr>
                <w:rFonts w:ascii="Arial" w:hAnsi="Arial"/>
                <w:b w:val="0"/>
                <w:sz w:val="19"/>
              </w:rPr>
              <w:t>panel ≈ 10,87 (corto) × 18,0 m (largo)</w:t>
            </w:r>
          </w:p>
        </w:tc>
        <w:tc>
          <w:tcPr>
            <w:tcW w:type="dxa" w:w="2268"/>
          </w:tcPr>
          <w:p>
            <w:r>
              <w:rPr>
                <w:rFonts w:ascii="Arial" w:hAnsi="Arial"/>
                <w:b w:val="0"/>
                <w:sz w:val="19"/>
              </w:rPr>
              <w:t>151,25 → 151,95</w:t>
            </w:r>
          </w:p>
        </w:tc>
      </w:tr>
    </w:tbl>
    <w:p>
      <w:pPr>
        <w:jc w:val="left"/>
      </w:pPr>
      <w:r>
        <w:rPr>
          <w:i/>
          <w:color w:val="595959"/>
          <w:sz w:val="19"/>
        </w:rPr>
        <w:t>Tabla 2. Inventario geométrico (parser ifcopenshell sobre IFC2X3).</w:t>
      </w:r>
    </w:p>
    <w:p>
      <w:pPr>
        <w:pStyle w:val="Heading2"/>
      </w:pPr>
      <w:r>
        <w:t>3.2 Materiales</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3024"/>
        <w:gridCol w:w="3024"/>
        <w:gridCol w:w="3024"/>
      </w:tblGrid>
      <w:tr>
        <w:trPr>
          <w:tblHeader w:val="true"/>
          <w:cantSplit w:val="true"/>
        </w:trPr>
        <w:tc>
          <w:tcPr>
            <w:tcW w:type="dxa" w:w="3024"/>
            <w:tcBorders>
              <w:left w:val="single" w:sz="4" w:space="0" w:color="9CB7D4"/>
              <w:right w:val="single" w:sz="4" w:space="0" w:color="9CB7D4"/>
            </w:tcBorders>
            <w:shd w:val="clear" w:fill="D9E2F3"/>
          </w:tcPr>
          <w:p>
            <w:r>
              <w:rPr>
                <w:rFonts w:ascii="Arial" w:hAnsi="Arial"/>
                <w:b/>
                <w:sz w:val="19"/>
              </w:rPr>
              <w:t>Material</w:t>
            </w:r>
          </w:p>
        </w:tc>
        <w:tc>
          <w:tcPr>
            <w:tcW w:type="dxa" w:w="3024"/>
            <w:tcBorders>
              <w:left w:val="single" w:sz="4" w:space="0" w:color="9CB7D4"/>
              <w:right w:val="single" w:sz="4" w:space="0" w:color="9CB7D4"/>
            </w:tcBorders>
            <w:shd w:val="clear" w:fill="D9E2F3"/>
          </w:tcPr>
          <w:p>
            <w:r>
              <w:rPr>
                <w:rFonts w:ascii="Arial" w:hAnsi="Arial"/>
                <w:b/>
                <w:sz w:val="19"/>
              </w:rPr>
              <w:t>Característica</w:t>
            </w:r>
          </w:p>
        </w:tc>
        <w:tc>
          <w:tcPr>
            <w:tcW w:type="dxa" w:w="3024"/>
            <w:tcBorders>
              <w:left w:val="single" w:sz="4" w:space="0" w:color="9CB7D4"/>
              <w:right w:val="single" w:sz="4" w:space="0" w:color="9CB7D4"/>
            </w:tcBorders>
            <w:shd w:val="clear" w:fill="D9E2F3"/>
          </w:tcPr>
          <w:p>
            <w:r>
              <w:rPr>
                <w:rFonts w:ascii="Arial" w:hAnsi="Arial"/>
                <w:b/>
                <w:sz w:val="19"/>
              </w:rPr>
              <w:t>Valor</w:t>
            </w:r>
          </w:p>
        </w:tc>
      </w:tr>
      <w:tr>
        <w:tc>
          <w:tcPr>
            <w:tcW w:type="dxa" w:w="3024"/>
          </w:tcPr>
          <w:p>
            <w:r>
              <w:rPr>
                <w:rFonts w:ascii="Arial" w:hAnsi="Arial"/>
                <w:b w:val="0"/>
                <w:sz w:val="19"/>
              </w:rPr>
              <w:t>Hormigón HA-30</w:t>
            </w:r>
          </w:p>
        </w:tc>
        <w:tc>
          <w:tcPr>
            <w:tcW w:type="dxa" w:w="3024"/>
          </w:tcPr>
          <w:p>
            <w:r>
              <w:rPr>
                <w:rFonts w:ascii="Arial" w:hAnsi="Arial"/>
                <w:b w:val="0"/>
                <w:sz w:val="19"/>
              </w:rPr>
              <w:t>f_ck / f_cd / f_ctm / E_cm</w:t>
            </w:r>
          </w:p>
        </w:tc>
        <w:tc>
          <w:tcPr>
            <w:tcW w:type="dxa" w:w="3024"/>
          </w:tcPr>
          <w:p>
            <w:r>
              <w:rPr>
                <w:rFonts w:ascii="Arial" w:hAnsi="Arial"/>
                <w:b w:val="0"/>
                <w:sz w:val="19"/>
              </w:rPr>
              <w:t>30 / 20,0 / 2,90 MPa / 32,8 GPa</w:t>
            </w:r>
          </w:p>
        </w:tc>
      </w:tr>
      <w:tr>
        <w:tc>
          <w:tcPr>
            <w:tcW w:type="dxa" w:w="3024"/>
          </w:tcPr>
          <w:p>
            <w:r>
              <w:rPr>
                <w:rFonts w:ascii="Arial" w:hAnsi="Arial"/>
                <w:b w:val="0"/>
                <w:sz w:val="19"/>
              </w:rPr>
              <w:t>Acero B500S</w:t>
            </w:r>
          </w:p>
        </w:tc>
        <w:tc>
          <w:tcPr>
            <w:tcW w:type="dxa" w:w="3024"/>
          </w:tcPr>
          <w:p>
            <w:r>
              <w:rPr>
                <w:rFonts w:ascii="Arial" w:hAnsi="Arial"/>
                <w:b w:val="0"/>
                <w:sz w:val="19"/>
              </w:rPr>
              <w:t>f_yk / f_yd</w:t>
            </w:r>
          </w:p>
        </w:tc>
        <w:tc>
          <w:tcPr>
            <w:tcW w:type="dxa" w:w="3024"/>
          </w:tcPr>
          <w:p>
            <w:r>
              <w:rPr>
                <w:rFonts w:ascii="Arial" w:hAnsi="Arial"/>
                <w:b w:val="0"/>
                <w:sz w:val="19"/>
              </w:rPr>
              <w:t>500 / 434,8 MPa</w:t>
            </w:r>
          </w:p>
        </w:tc>
      </w:tr>
      <w:tr>
        <w:tc>
          <w:tcPr>
            <w:tcW w:type="dxa" w:w="3024"/>
          </w:tcPr>
          <w:p>
            <w:r>
              <w:rPr>
                <w:rFonts w:ascii="Arial" w:hAnsi="Arial"/>
                <w:b w:val="0"/>
                <w:sz w:val="19"/>
              </w:rPr>
              <w:t>Recubrimiento · estanqueidad</w:t>
            </w:r>
          </w:p>
        </w:tc>
        <w:tc>
          <w:tcPr>
            <w:tcW w:type="dxa" w:w="3024"/>
          </w:tcPr>
          <w:p>
            <w:r>
              <w:rPr>
                <w:rFonts w:ascii="Arial" w:hAnsi="Arial"/>
                <w:b w:val="0"/>
                <w:sz w:val="19"/>
              </w:rPr>
              <w:t>c_nom · w_k,máx (Clase 1)</w:t>
            </w:r>
          </w:p>
        </w:tc>
        <w:tc>
          <w:tcPr>
            <w:tcW w:type="dxa" w:w="3024"/>
          </w:tcPr>
          <w:p>
            <w:r>
              <w:rPr>
                <w:rFonts w:ascii="Arial" w:hAnsi="Arial"/>
                <w:b w:val="0"/>
                <w:sz w:val="19"/>
              </w:rPr>
              <w:t>45 mm · 0,20 mm</w:t>
            </w:r>
          </w:p>
        </w:tc>
      </w:tr>
    </w:tbl>
    <w:p>
      <w:pPr>
        <w:jc w:val="left"/>
      </w:pPr>
      <w:r>
        <w:rPr>
          <w:i/>
          <w:color w:val="595959"/>
          <w:sz w:val="19"/>
        </w:rPr>
        <w:t>Tabla 3. Materiales. [confirmar AN].</w:t>
      </w:r>
    </w:p>
    <w:p>
      <w:pPr>
        <w:pStyle w:val="Heading2"/>
      </w:pPr>
      <w:r>
        <w:t>3.3 Geotecnia (SOCOTEC — HQ)</w:t>
      </w:r>
    </w:p>
    <w:p>
      <w:r>
        <w:t>Apoyo en UG3 (arenisca, roca blanda). Freático documentado +142,6/+144,6, bajo la base (+146,40). Sismo ac=0,046 g. [PENDIENTE: confirmar cota de implantación y freático del depósito].</w:t>
      </w:r>
    </w:p>
    <w:p>
      <w:pPr>
        <w:pStyle w:val="Heading1"/>
      </w:pPr>
      <w:r>
        <w:t>4. Hipótesis: acciones y combinaciones</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3024"/>
        <w:gridCol w:w="3024"/>
        <w:gridCol w:w="3024"/>
      </w:tblGrid>
      <w:tr>
        <w:trPr>
          <w:tblHeader w:val="true"/>
          <w:cantSplit w:val="true"/>
        </w:trPr>
        <w:tc>
          <w:tcPr>
            <w:tcW w:type="dxa" w:w="3024"/>
            <w:tcBorders>
              <w:left w:val="single" w:sz="4" w:space="0" w:color="9CB7D4"/>
              <w:right w:val="single" w:sz="4" w:space="0" w:color="9CB7D4"/>
            </w:tcBorders>
            <w:shd w:val="clear" w:fill="D9E2F3"/>
          </w:tcPr>
          <w:p>
            <w:r>
              <w:rPr>
                <w:rFonts w:ascii="Arial" w:hAnsi="Arial"/>
                <w:b/>
                <w:sz w:val="19"/>
              </w:rPr>
              <w:t>Acción</w:t>
            </w:r>
          </w:p>
        </w:tc>
        <w:tc>
          <w:tcPr>
            <w:tcW w:type="dxa" w:w="3024"/>
            <w:tcBorders>
              <w:left w:val="single" w:sz="4" w:space="0" w:color="9CB7D4"/>
              <w:right w:val="single" w:sz="4" w:space="0" w:color="9CB7D4"/>
            </w:tcBorders>
            <w:shd w:val="clear" w:fill="D9E2F3"/>
          </w:tcPr>
          <w:p>
            <w:r>
              <w:rPr>
                <w:rFonts w:ascii="Arial" w:hAnsi="Arial"/>
                <w:b/>
                <w:sz w:val="19"/>
              </w:rPr>
              <w:t>Valor característico</w:t>
            </w:r>
          </w:p>
        </w:tc>
        <w:tc>
          <w:tcPr>
            <w:tcW w:type="dxa" w:w="3024"/>
            <w:tcBorders>
              <w:left w:val="single" w:sz="4" w:space="0" w:color="9CB7D4"/>
              <w:right w:val="single" w:sz="4" w:space="0" w:color="9CB7D4"/>
            </w:tcBorders>
            <w:shd w:val="clear" w:fill="D9E2F3"/>
          </w:tcPr>
          <w:p>
            <w:r>
              <w:rPr>
                <w:rFonts w:ascii="Arial" w:hAnsi="Arial"/>
                <w:b/>
                <w:sz w:val="19"/>
              </w:rPr>
              <w:t>Cláusula</w:t>
            </w:r>
          </w:p>
        </w:tc>
      </w:tr>
      <w:tr>
        <w:tc>
          <w:tcPr>
            <w:tcW w:type="dxa" w:w="3024"/>
          </w:tcPr>
          <w:p>
            <w:r>
              <w:rPr>
                <w:rFonts w:ascii="Arial" w:hAnsi="Arial"/>
                <w:b w:val="0"/>
                <w:sz w:val="19"/>
              </w:rPr>
              <w:t>Peso propio (HA)</w:t>
            </w:r>
          </w:p>
        </w:tc>
        <w:tc>
          <w:tcPr>
            <w:tcW w:type="dxa" w:w="3024"/>
          </w:tcPr>
          <w:p>
            <w:r>
              <w:rPr>
                <w:rFonts w:ascii="Arial" w:hAnsi="Arial"/>
                <w:b w:val="0"/>
                <w:sz w:val="19"/>
              </w:rPr>
              <w:t>γ = 25 kN/m³</w:t>
            </w:r>
          </w:p>
        </w:tc>
        <w:tc>
          <w:tcPr>
            <w:tcW w:type="dxa" w:w="3024"/>
          </w:tcPr>
          <w:p>
            <w:r>
              <w:rPr>
                <w:rFonts w:ascii="Arial" w:hAnsi="Arial"/>
                <w:b w:val="0"/>
                <w:sz w:val="19"/>
              </w:rPr>
              <w:t>EC1-1-1</w:t>
            </w:r>
          </w:p>
        </w:tc>
      </w:tr>
      <w:tr>
        <w:tc>
          <w:tcPr>
            <w:tcW w:type="dxa" w:w="3024"/>
          </w:tcPr>
          <w:p>
            <w:r>
              <w:rPr>
                <w:rFonts w:ascii="Arial" w:hAnsi="Arial"/>
                <w:b w:val="0"/>
                <w:sz w:val="19"/>
              </w:rPr>
              <w:t>Agua (lleno)</w:t>
            </w:r>
          </w:p>
        </w:tc>
        <w:tc>
          <w:tcPr>
            <w:tcW w:type="dxa" w:w="3024"/>
          </w:tcPr>
          <w:p>
            <w:r>
              <w:rPr>
                <w:rFonts w:ascii="Arial" w:hAnsi="Arial"/>
                <w:b w:val="0"/>
                <w:sz w:val="19"/>
              </w:rPr>
              <w:t>γw = 10 kN/m³ · p_base = 43,5 kPa</w:t>
            </w:r>
          </w:p>
        </w:tc>
        <w:tc>
          <w:tcPr>
            <w:tcW w:type="dxa" w:w="3024"/>
          </w:tcPr>
          <w:p>
            <w:r>
              <w:rPr>
                <w:rFonts w:ascii="Arial" w:hAnsi="Arial"/>
                <w:b w:val="0"/>
                <w:sz w:val="19"/>
              </w:rPr>
              <w:t>EN 1991-4</w:t>
            </w:r>
          </w:p>
        </w:tc>
      </w:tr>
      <w:tr>
        <w:tc>
          <w:tcPr>
            <w:tcW w:type="dxa" w:w="3024"/>
          </w:tcPr>
          <w:p>
            <w:r>
              <w:rPr>
                <w:rFonts w:ascii="Arial" w:hAnsi="Arial"/>
                <w:b w:val="0"/>
                <w:sz w:val="19"/>
              </w:rPr>
              <w:t>Empuje de tierras (reposo)</w:t>
            </w:r>
          </w:p>
        </w:tc>
        <w:tc>
          <w:tcPr>
            <w:tcW w:type="dxa" w:w="3024"/>
          </w:tcPr>
          <w:p>
            <w:r>
              <w:rPr>
                <w:rFonts w:ascii="Arial" w:hAnsi="Arial"/>
                <w:b w:val="0"/>
                <w:sz w:val="19"/>
              </w:rPr>
              <w:t>K₀ = 0,50 · p_base = 49,5 kPa</w:t>
            </w:r>
          </w:p>
        </w:tc>
        <w:tc>
          <w:tcPr>
            <w:tcW w:type="dxa" w:w="3024"/>
          </w:tcPr>
          <w:p>
            <w:r>
              <w:rPr>
                <w:rFonts w:ascii="Arial" w:hAnsi="Arial"/>
                <w:b w:val="0"/>
                <w:sz w:val="19"/>
              </w:rPr>
              <w:t>EC7</w:t>
            </w:r>
          </w:p>
        </w:tc>
      </w:tr>
      <w:tr>
        <w:tc>
          <w:tcPr>
            <w:tcW w:type="dxa" w:w="3024"/>
          </w:tcPr>
          <w:p>
            <w:r>
              <w:rPr>
                <w:rFonts w:ascii="Arial" w:hAnsi="Arial"/>
                <w:b w:val="0"/>
                <w:sz w:val="19"/>
              </w:rPr>
              <w:t>Sobrecarga en trasdós</w:t>
            </w:r>
          </w:p>
        </w:tc>
        <w:tc>
          <w:tcPr>
            <w:tcW w:type="dxa" w:w="3024"/>
          </w:tcPr>
          <w:p>
            <w:r>
              <w:rPr>
                <w:rFonts w:ascii="Arial" w:hAnsi="Arial"/>
                <w:b w:val="0"/>
                <w:sz w:val="19"/>
              </w:rPr>
              <w:t>q = 20 kPa</w:t>
            </w:r>
          </w:p>
        </w:tc>
        <w:tc>
          <w:tcPr>
            <w:tcW w:type="dxa" w:w="3024"/>
          </w:tcPr>
          <w:p>
            <w:r>
              <w:rPr>
                <w:rFonts w:ascii="Arial" w:hAnsi="Arial"/>
                <w:b w:val="0"/>
                <w:sz w:val="19"/>
              </w:rPr>
              <w:t>EC7</w:t>
            </w:r>
          </w:p>
        </w:tc>
      </w:tr>
      <w:tr>
        <w:tc>
          <w:tcPr>
            <w:tcW w:type="dxa" w:w="3024"/>
          </w:tcPr>
          <w:p>
            <w:r>
              <w:rPr>
                <w:rFonts w:ascii="Arial" w:hAnsi="Arial"/>
                <w:b w:val="0"/>
                <w:sz w:val="19"/>
              </w:rPr>
              <w:t>Tráfico cubierta IAP-11 LM1</w:t>
            </w:r>
          </w:p>
        </w:tc>
        <w:tc>
          <w:tcPr>
            <w:tcW w:type="dxa" w:w="3024"/>
          </w:tcPr>
          <w:p>
            <w:r>
              <w:rPr>
                <w:rFonts w:ascii="Arial" w:hAnsi="Arial"/>
                <w:b w:val="0"/>
                <w:sz w:val="19"/>
              </w:rPr>
              <w:t>tándem 2×300 kN + UDL 9 kN/m²</w:t>
            </w:r>
          </w:p>
        </w:tc>
        <w:tc>
          <w:tcPr>
            <w:tcW w:type="dxa" w:w="3024"/>
          </w:tcPr>
          <w:p>
            <w:r>
              <w:rPr>
                <w:rFonts w:ascii="Arial" w:hAnsi="Arial"/>
                <w:b w:val="0"/>
                <w:sz w:val="19"/>
              </w:rPr>
              <w:t>IAP-11 (decisión JM)</w:t>
            </w:r>
          </w:p>
        </w:tc>
      </w:tr>
    </w:tbl>
    <w:p>
      <w:pPr>
        <w:jc w:val="left"/>
      </w:pPr>
      <w:r>
        <w:rPr>
          <w:i/>
          <w:color w:val="595959"/>
          <w:sz w:val="19"/>
        </w:rPr>
        <w:t>Tabla 4. Acciones características.</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2268"/>
        <w:gridCol w:w="2268"/>
        <w:gridCol w:w="2268"/>
        <w:gridCol w:w="2268"/>
      </w:tblGrid>
      <w:tr>
        <w:trPr>
          <w:tblHeader w:val="true"/>
          <w:cantSplit w:val="true"/>
        </w:trPr>
        <w:tc>
          <w:tcPr>
            <w:tcW w:type="dxa" w:w="2268"/>
            <w:tcBorders>
              <w:left w:val="single" w:sz="4" w:space="0" w:color="9CB7D4"/>
              <w:right w:val="single" w:sz="4" w:space="0" w:color="9CB7D4"/>
            </w:tcBorders>
            <w:shd w:val="clear" w:fill="D9E2F3"/>
          </w:tcPr>
          <w:p>
            <w:r>
              <w:rPr>
                <w:rFonts w:ascii="Arial" w:hAnsi="Arial"/>
                <w:b/>
                <w:sz w:val="19"/>
              </w:rPr>
              <w:t>Combinación</w:t>
            </w:r>
          </w:p>
        </w:tc>
        <w:tc>
          <w:tcPr>
            <w:tcW w:type="dxa" w:w="2268"/>
            <w:tcBorders>
              <w:left w:val="single" w:sz="4" w:space="0" w:color="9CB7D4"/>
              <w:right w:val="single" w:sz="4" w:space="0" w:color="9CB7D4"/>
            </w:tcBorders>
            <w:shd w:val="clear" w:fill="D9E2F3"/>
          </w:tcPr>
          <w:p>
            <w:r>
              <w:rPr>
                <w:rFonts w:ascii="Arial" w:hAnsi="Arial"/>
                <w:b/>
                <w:sz w:val="19"/>
              </w:rPr>
              <w:t>Expresión</w:t>
            </w:r>
          </w:p>
        </w:tc>
        <w:tc>
          <w:tcPr>
            <w:tcW w:type="dxa" w:w="2268"/>
            <w:tcBorders>
              <w:left w:val="single" w:sz="4" w:space="0" w:color="9CB7D4"/>
              <w:right w:val="single" w:sz="4" w:space="0" w:color="9CB7D4"/>
            </w:tcBorders>
            <w:shd w:val="clear" w:fill="D9E2F3"/>
          </w:tcPr>
          <w:p>
            <w:r>
              <w:rPr>
                <w:rFonts w:ascii="Arial" w:hAnsi="Arial"/>
                <w:b/>
                <w:sz w:val="19"/>
              </w:rPr>
              <w:t>Coef. γ / ψ</w:t>
            </w:r>
          </w:p>
        </w:tc>
        <w:tc>
          <w:tcPr>
            <w:tcW w:type="dxa" w:w="2268"/>
            <w:tcBorders>
              <w:left w:val="single" w:sz="4" w:space="0" w:color="9CB7D4"/>
              <w:right w:val="single" w:sz="4" w:space="0" w:color="9CB7D4"/>
            </w:tcBorders>
            <w:shd w:val="clear" w:fill="D9E2F3"/>
          </w:tcPr>
          <w:p>
            <w:r>
              <w:rPr>
                <w:rFonts w:ascii="Arial" w:hAnsi="Arial"/>
                <w:b/>
                <w:sz w:val="19"/>
              </w:rPr>
              <w:t>Cláusula</w:t>
            </w:r>
          </w:p>
        </w:tc>
      </w:tr>
      <w:tr>
        <w:tc>
          <w:tcPr>
            <w:tcW w:type="dxa" w:w="2268"/>
          </w:tcPr>
          <w:p>
            <w:r>
              <w:rPr>
                <w:rFonts w:ascii="Arial" w:hAnsi="Arial"/>
                <w:b w:val="0"/>
                <w:sz w:val="19"/>
              </w:rPr>
              <w:t>ELU (STR/GEO)</w:t>
            </w:r>
          </w:p>
        </w:tc>
        <w:tc>
          <w:tcPr>
            <w:tcW w:type="dxa" w:w="2268"/>
          </w:tcPr>
          <w:p>
            <w:r>
              <w:rPr>
                <w:rFonts w:ascii="Arial" w:hAnsi="Arial"/>
                <w:b w:val="0"/>
                <w:sz w:val="19"/>
              </w:rPr>
              <w:t>1,35·G + 1,50·Q_lead + 1,50·ψ₀·Q</w:t>
            </w:r>
          </w:p>
        </w:tc>
        <w:tc>
          <w:tcPr>
            <w:tcW w:type="dxa" w:w="2268"/>
          </w:tcPr>
          <w:p>
            <w:r>
              <w:rPr>
                <w:rFonts w:ascii="Arial" w:hAnsi="Arial"/>
                <w:b w:val="0"/>
                <w:sz w:val="19"/>
              </w:rPr>
              <w:t>γ_G=1,35 · γ_Q=1,50 · ψ₀=0,7</w:t>
            </w:r>
          </w:p>
        </w:tc>
        <w:tc>
          <w:tcPr>
            <w:tcW w:type="dxa" w:w="2268"/>
          </w:tcPr>
          <w:p>
            <w:r>
              <w:rPr>
                <w:rFonts w:ascii="Arial" w:hAnsi="Arial"/>
                <w:b w:val="0"/>
                <w:sz w:val="19"/>
              </w:rPr>
              <w:t>EC0 6.10</w:t>
            </w:r>
          </w:p>
        </w:tc>
      </w:tr>
      <w:tr>
        <w:tc>
          <w:tcPr>
            <w:tcW w:type="dxa" w:w="2268"/>
          </w:tcPr>
          <w:p>
            <w:r>
              <w:rPr>
                <w:rFonts w:ascii="Arial" w:hAnsi="Arial"/>
                <w:b w:val="0"/>
                <w:sz w:val="19"/>
              </w:rPr>
              <w:t>ELS estanqueidad</w:t>
            </w:r>
          </w:p>
        </w:tc>
        <w:tc>
          <w:tcPr>
            <w:tcW w:type="dxa" w:w="2268"/>
          </w:tcPr>
          <w:p>
            <w:r>
              <w:rPr>
                <w:rFonts w:ascii="Arial" w:hAnsi="Arial"/>
                <w:b w:val="0"/>
                <w:sz w:val="19"/>
              </w:rPr>
              <w:t>1,0·G + 1,0·Q (lleno)</w:t>
            </w:r>
          </w:p>
        </w:tc>
        <w:tc>
          <w:tcPr>
            <w:tcW w:type="dxa" w:w="2268"/>
          </w:tcPr>
          <w:p>
            <w:r>
              <w:rPr>
                <w:rFonts w:ascii="Arial" w:hAnsi="Arial"/>
                <w:b w:val="0"/>
                <w:sz w:val="19"/>
              </w:rPr>
              <w:t>γ=1,0 (característica)</w:t>
            </w:r>
          </w:p>
        </w:tc>
        <w:tc>
          <w:tcPr>
            <w:tcW w:type="dxa" w:w="2268"/>
          </w:tcPr>
          <w:p>
            <w:r>
              <w:rPr>
                <w:rFonts w:ascii="Arial" w:hAnsi="Arial"/>
                <w:b w:val="0"/>
                <w:sz w:val="19"/>
              </w:rPr>
              <w:t>EN 1992-3</w:t>
            </w:r>
          </w:p>
        </w:tc>
      </w:tr>
      <w:tr>
        <w:tc>
          <w:tcPr>
            <w:tcW w:type="dxa" w:w="2268"/>
          </w:tcPr>
          <w:p>
            <w:r>
              <w:rPr>
                <w:rFonts w:ascii="Arial" w:hAnsi="Arial"/>
                <w:b w:val="0"/>
                <w:sz w:val="19"/>
              </w:rPr>
              <w:t>Flotación (UPL)</w:t>
            </w:r>
          </w:p>
        </w:tc>
        <w:tc>
          <w:tcPr>
            <w:tcW w:type="dxa" w:w="2268"/>
          </w:tcPr>
          <w:p>
            <w:r>
              <w:rPr>
                <w:rFonts w:ascii="Arial" w:hAnsi="Arial"/>
                <w:b w:val="0"/>
                <w:sz w:val="19"/>
              </w:rPr>
              <w:t>G_dst·1,0 ≤ G_stb·0,9</w:t>
            </w:r>
          </w:p>
        </w:tc>
        <w:tc>
          <w:tcPr>
            <w:tcW w:type="dxa" w:w="2268"/>
          </w:tcPr>
          <w:p>
            <w:r>
              <w:rPr>
                <w:rFonts w:ascii="Arial" w:hAnsi="Arial"/>
                <w:b w:val="0"/>
                <w:sz w:val="19"/>
              </w:rPr>
              <w:t>γ_G,stb=0,90</w:t>
            </w:r>
          </w:p>
        </w:tc>
        <w:tc>
          <w:tcPr>
            <w:tcW w:type="dxa" w:w="2268"/>
          </w:tcPr>
          <w:p>
            <w:r>
              <w:rPr>
                <w:rFonts w:ascii="Arial" w:hAnsi="Arial"/>
                <w:b w:val="0"/>
                <w:sz w:val="19"/>
              </w:rPr>
              <w:t>EC7 (UPL)</w:t>
            </w:r>
          </w:p>
        </w:tc>
      </w:tr>
    </w:tbl>
    <w:p>
      <w:pPr>
        <w:jc w:val="left"/>
      </w:pPr>
      <w:r>
        <w:rPr>
          <w:i/>
          <w:color w:val="595959"/>
          <w:sz w:val="19"/>
        </w:rPr>
        <w:t>Tabla 5. Combinaciones.</w:t>
      </w:r>
    </w:p>
    <w:p>
      <w:pPr>
        <w:pStyle w:val="Heading1"/>
      </w:pPr>
      <w:r>
        <w:t>5. Modelo e idealización — cajón monolítico (modelo único)</w:t>
      </w:r>
    </w:p>
    <w:p>
      <w:r>
        <w:t>Unión muro-losa RÍGIDA → cajón cerrado. La cubierta se modela como una ÚNICA placa 2D de Kirchhoff (FEM ACM) con los bordes apoyados en los muros mediante MUELLES ROTACIONALES de rigidez k = 4·E·I_muro/H_muro (la rigidez real del muro empotrado en la solera). Así, el par vano/apoyo es coherente (se evita mezclar el vano del borde rígido con la esquina del borde flexible). Un pórtico cerrado transversal confirma el equilibrio de la esquina. Validación de la placa contra Timoshenko (placa empotrada): error 0,2 % en borde.</w:t>
      </w:r>
    </w:p>
    <w:p>
      <w:pPr>
        <w:jc w:val="center"/>
      </w:pPr>
      <w:r>
        <w:drawing>
          <wp:inline xmlns:a="http://schemas.openxmlformats.org/drawingml/2006/main" xmlns:pic="http://schemas.openxmlformats.org/drawingml/2006/picture">
            <wp:extent cx="6192000" cy="2534226"/>
            <wp:docPr id="1" name="Picture 1"/>
            <wp:cNvGraphicFramePr>
              <a:graphicFrameLocks noChangeAspect="1"/>
            </wp:cNvGraphicFramePr>
            <a:graphic>
              <a:graphicData uri="http://schemas.openxmlformats.org/drawingml/2006/picture">
                <pic:pic>
                  <pic:nvPicPr>
                    <pic:cNvPr id="0" name="estructura_planta_seccion.png"/>
                    <pic:cNvPicPr/>
                  </pic:nvPicPr>
                  <pic:blipFill>
                    <a:blip r:embed="rId9"/>
                    <a:stretch>
                      <a:fillRect/>
                    </a:stretch>
                  </pic:blipFill>
                  <pic:spPr>
                    <a:xfrm>
                      <a:off x="0" y="0"/>
                      <a:ext cx="6192000" cy="2534226"/>
                    </a:xfrm>
                    <a:prstGeom prst="rect"/>
                  </pic:spPr>
                </pic:pic>
              </a:graphicData>
            </a:graphic>
          </wp:inline>
        </w:drawing>
      </w:r>
    </w:p>
    <w:p>
      <w:pPr>
        <w:jc w:val="left"/>
      </w:pPr>
      <w:r>
        <w:rPr>
          <w:i/>
          <w:color w:val="595959"/>
          <w:sz w:val="19"/>
        </w:rPr>
        <w:t>Figura 1. Estructura completa (geometría IFC). Planta: las DOS losas de cubierta (0,60 m y 0,70 m transitable), los muros (4 perimetrales + 1 interior de compartimentación, 0,50 m; muretes de 0,20 m) y la solera; con la losa al completo. Sección transversal del cajón con el esquema de flexión (unión rígida).</w:t>
      </w:r>
    </w:p>
    <w:p>
      <w:pPr>
        <w:jc w:val="center"/>
      </w:pPr>
      <w:r>
        <w:drawing>
          <wp:inline xmlns:a="http://schemas.openxmlformats.org/drawingml/2006/main" xmlns:pic="http://schemas.openxmlformats.org/drawingml/2006/picture">
            <wp:extent cx="5400000" cy="5695156"/>
            <wp:docPr id="2" name="Picture 2"/>
            <wp:cNvGraphicFramePr>
              <a:graphicFrameLocks noChangeAspect="1"/>
            </wp:cNvGraphicFramePr>
            <a:graphic>
              <a:graphicData uri="http://schemas.openxmlformats.org/drawingml/2006/picture">
                <pic:pic>
                  <pic:nvPicPr>
                    <pic:cNvPr id="0" name="flexion_cubierta_v3.png"/>
                    <pic:cNvPicPr/>
                  </pic:nvPicPr>
                  <pic:blipFill>
                    <a:blip r:embed="rId10"/>
                    <a:stretch>
                      <a:fillRect/>
                    </a:stretch>
                  </pic:blipFill>
                  <pic:spPr>
                    <a:xfrm>
                      <a:off x="0" y="0"/>
                      <a:ext cx="5400000" cy="5695156"/>
                    </a:xfrm>
                    <a:prstGeom prst="rect"/>
                  </pic:spPr>
                </pic:pic>
              </a:graphicData>
            </a:graphic>
          </wp:inline>
        </w:drawing>
      </w:r>
    </w:p>
    <w:p>
      <w:pPr>
        <w:jc w:val="left"/>
      </w:pPr>
      <w:r>
        <w:rPr>
          <w:i/>
          <w:color w:val="595959"/>
          <w:sz w:val="19"/>
        </w:rPr>
        <w:t>Figura 2. Momento m_x de la cubierta (placa 2D con rigidez real del muro): vano +440 (inferior), apoyo −249 (superior). Cota superior con borde rígido: −510.</w:t>
      </w:r>
    </w:p>
    <w:p>
      <w:r>
        <w:t>Sensibilidad a la rigidez del borde (muro): k=2EI/H → vano +487 / apoyo −167; k=4EI/H (nominal) → vano +440 / apoyo −249; k=6EI/H → vano +413 / apoyo −298. La suma vano+apoyo es casi invariante: relajar la esquina sube el vano.</w:t>
      </w:r>
    </w:p>
    <w:p>
      <w:pPr>
        <w:pStyle w:val="Heading1"/>
      </w:pPr>
      <w:r>
        <w:t>6. Cálculo y resultados (por elemento)</w:t>
      </w:r>
    </w:p>
    <w:p>
      <w:r>
        <w:t>La unión rígida reduce el vano de la cubierta de 923,9 (bi-apoyada) a 440 kN·m/m (placa 2D bidireccional con rigidez real) y crea un momento de apoyo/esquina de ≈ 249 kN·m/m (rango 167–298) que requiere armadura superior y de cabeza de muro.</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3024"/>
        <w:gridCol w:w="3024"/>
        <w:gridCol w:w="3024"/>
      </w:tblGrid>
      <w:tr>
        <w:trPr>
          <w:tblHeader w:val="true"/>
          <w:cantSplit w:val="true"/>
        </w:trPr>
        <w:tc>
          <w:tcPr>
            <w:tcW w:type="dxa" w:w="3024"/>
            <w:tcBorders>
              <w:left w:val="single" w:sz="4" w:space="0" w:color="9CB7D4"/>
              <w:right w:val="single" w:sz="4" w:space="0" w:color="9CB7D4"/>
            </w:tcBorders>
            <w:shd w:val="clear" w:fill="D9E2F3"/>
          </w:tcPr>
          <w:p>
            <w:r>
              <w:rPr>
                <w:rFonts w:ascii="Arial" w:hAnsi="Arial"/>
                <w:b/>
                <w:sz w:val="19"/>
              </w:rPr>
              <w:t>Elemento</w:t>
            </w:r>
          </w:p>
        </w:tc>
        <w:tc>
          <w:tcPr>
            <w:tcW w:type="dxa" w:w="3024"/>
            <w:tcBorders>
              <w:left w:val="single" w:sz="4" w:space="0" w:color="9CB7D4"/>
              <w:right w:val="single" w:sz="4" w:space="0" w:color="9CB7D4"/>
            </w:tcBorders>
            <w:shd w:val="clear" w:fill="D9E2F3"/>
          </w:tcPr>
          <w:p>
            <w:r>
              <w:rPr>
                <w:rFonts w:ascii="Arial" w:hAnsi="Arial"/>
                <w:b/>
                <w:sz w:val="19"/>
              </w:rPr>
              <w:t>Esfuerzo de cálculo (ELU)</w:t>
            </w:r>
          </w:p>
        </w:tc>
        <w:tc>
          <w:tcPr>
            <w:tcW w:type="dxa" w:w="3024"/>
            <w:tcBorders>
              <w:left w:val="single" w:sz="4" w:space="0" w:color="9CB7D4"/>
              <w:right w:val="single" w:sz="4" w:space="0" w:color="9CB7D4"/>
            </w:tcBorders>
            <w:shd w:val="clear" w:fill="D9E2F3"/>
          </w:tcPr>
          <w:p>
            <w:r>
              <w:rPr>
                <w:rFonts w:ascii="Arial" w:hAnsi="Arial"/>
                <w:b/>
                <w:sz w:val="19"/>
              </w:rPr>
              <w:t>Armado propuesto</w:t>
            </w:r>
          </w:p>
        </w:tc>
      </w:tr>
      <w:tr>
        <w:tc>
          <w:tcPr>
            <w:tcW w:type="dxa" w:w="3024"/>
          </w:tcPr>
          <w:p>
            <w:r>
              <w:rPr>
                <w:rFonts w:ascii="Arial" w:hAnsi="Arial"/>
                <w:b w:val="0"/>
                <w:sz w:val="19"/>
              </w:rPr>
              <w:t>Cubierta · vano inferior (corto/largo)</w:t>
            </w:r>
          </w:p>
        </w:tc>
        <w:tc>
          <w:tcPr>
            <w:tcW w:type="dxa" w:w="3024"/>
          </w:tcPr>
          <w:p>
            <w:r>
              <w:rPr>
                <w:rFonts w:ascii="Arial" w:hAnsi="Arial"/>
                <w:b w:val="0"/>
                <w:sz w:val="19"/>
              </w:rPr>
              <w:t>M = 440 / 261 kN·m/m</w:t>
            </w:r>
          </w:p>
        </w:tc>
        <w:tc>
          <w:tcPr>
            <w:tcW w:type="dxa" w:w="3024"/>
          </w:tcPr>
          <w:p>
            <w:r>
              <w:rPr>
                <w:rFonts w:ascii="Arial" w:hAnsi="Arial"/>
                <w:b w:val="0"/>
                <w:sz w:val="19"/>
              </w:rPr>
              <w:t>φ25/150 + φ20/200 inferior</w:t>
            </w:r>
          </w:p>
        </w:tc>
      </w:tr>
      <w:tr>
        <w:tc>
          <w:tcPr>
            <w:tcW w:type="dxa" w:w="3024"/>
          </w:tcPr>
          <w:p>
            <w:r>
              <w:rPr>
                <w:rFonts w:ascii="Arial" w:hAnsi="Arial"/>
                <w:b w:val="0"/>
                <w:sz w:val="19"/>
              </w:rPr>
              <w:t>Cubierta · apoyo superior sobre muros</w:t>
            </w:r>
          </w:p>
        </w:tc>
        <w:tc>
          <w:tcPr>
            <w:tcW w:type="dxa" w:w="3024"/>
          </w:tcPr>
          <w:p>
            <w:r>
              <w:rPr>
                <w:rFonts w:ascii="Arial" w:hAnsi="Arial"/>
                <w:b w:val="0"/>
                <w:sz w:val="19"/>
              </w:rPr>
              <w:t>M = 249–298 kN·m/m</w:t>
            </w:r>
          </w:p>
        </w:tc>
        <w:tc>
          <w:tcPr>
            <w:tcW w:type="dxa" w:w="3024"/>
          </w:tcPr>
          <w:p>
            <w:r>
              <w:rPr>
                <w:rFonts w:ascii="Arial" w:hAnsi="Arial"/>
                <w:b w:val="0"/>
                <w:sz w:val="19"/>
              </w:rPr>
              <w:t>φ20/150 superior</w:t>
            </w:r>
          </w:p>
        </w:tc>
      </w:tr>
      <w:tr>
        <w:tc>
          <w:tcPr>
            <w:tcW w:type="dxa" w:w="3024"/>
          </w:tcPr>
          <w:p>
            <w:r>
              <w:rPr>
                <w:rFonts w:ascii="Arial" w:hAnsi="Arial"/>
                <w:b w:val="0"/>
                <w:sz w:val="19"/>
              </w:rPr>
              <w:t>Muro · cabeza/esquina (cara exterior)</w:t>
            </w:r>
          </w:p>
        </w:tc>
        <w:tc>
          <w:tcPr>
            <w:tcW w:type="dxa" w:w="3024"/>
          </w:tcPr>
          <w:p>
            <w:r>
              <w:rPr>
                <w:rFonts w:ascii="Arial" w:hAnsi="Arial"/>
                <w:b w:val="0"/>
                <w:sz w:val="19"/>
              </w:rPr>
              <w:t>M = 249–298 kN·m/m</w:t>
            </w:r>
          </w:p>
        </w:tc>
        <w:tc>
          <w:tcPr>
            <w:tcW w:type="dxa" w:w="3024"/>
          </w:tcPr>
          <w:p>
            <w:r>
              <w:rPr>
                <w:rFonts w:ascii="Arial" w:hAnsi="Arial"/>
                <w:b w:val="0"/>
                <w:sz w:val="19"/>
              </w:rPr>
              <w:t>φ25/200 exterior</w:t>
            </w:r>
          </w:p>
        </w:tc>
      </w:tr>
      <w:tr>
        <w:tc>
          <w:tcPr>
            <w:tcW w:type="dxa" w:w="3024"/>
          </w:tcPr>
          <w:p>
            <w:r>
              <w:rPr>
                <w:rFonts w:ascii="Arial" w:hAnsi="Arial"/>
                <w:b w:val="0"/>
                <w:sz w:val="19"/>
              </w:rPr>
              <w:t>Muro · base y paramento</w:t>
            </w:r>
          </w:p>
        </w:tc>
        <w:tc>
          <w:tcPr>
            <w:tcW w:type="dxa" w:w="3024"/>
          </w:tcPr>
          <w:p>
            <w:r>
              <w:rPr>
                <w:rFonts w:ascii="Arial" w:hAnsi="Arial"/>
                <w:b w:val="0"/>
                <w:sz w:val="19"/>
              </w:rPr>
              <w:t>M = 92 / 95 kN·m/m</w:t>
            </w:r>
          </w:p>
        </w:tc>
        <w:tc>
          <w:tcPr>
            <w:tcW w:type="dxa" w:w="3024"/>
          </w:tcPr>
          <w:p>
            <w:r>
              <w:rPr>
                <w:rFonts w:ascii="Arial" w:hAnsi="Arial"/>
                <w:b w:val="0"/>
                <w:sz w:val="19"/>
              </w:rPr>
              <w:t>φ20/200 (ambas caras)</w:t>
            </w:r>
          </w:p>
        </w:tc>
      </w:tr>
      <w:tr>
        <w:tc>
          <w:tcPr>
            <w:tcW w:type="dxa" w:w="3024"/>
          </w:tcPr>
          <w:p>
            <w:r>
              <w:rPr>
                <w:rFonts w:ascii="Arial" w:hAnsi="Arial"/>
                <w:b w:val="0"/>
                <w:sz w:val="19"/>
              </w:rPr>
              <w:t>Losa de fondo (raft)</w:t>
            </w:r>
          </w:p>
        </w:tc>
        <w:tc>
          <w:tcPr>
            <w:tcW w:type="dxa" w:w="3024"/>
          </w:tcPr>
          <w:p>
            <w:r>
              <w:rPr>
                <w:rFonts w:ascii="Arial" w:hAnsi="Arial"/>
                <w:b w:val="0"/>
                <w:sz w:val="19"/>
              </w:rPr>
              <w:t>M = 133 kN·m/m</w:t>
            </w:r>
          </w:p>
        </w:tc>
        <w:tc>
          <w:tcPr>
            <w:tcW w:type="dxa" w:w="3024"/>
          </w:tcPr>
          <w:p>
            <w:r>
              <w:rPr>
                <w:rFonts w:ascii="Arial" w:hAnsi="Arial"/>
                <w:b w:val="0"/>
                <w:sz w:val="19"/>
              </w:rPr>
              <w:t>φ20/175 (ambas caras)</w:t>
            </w:r>
          </w:p>
        </w:tc>
      </w:tr>
    </w:tbl>
    <w:p>
      <w:pPr>
        <w:jc w:val="left"/>
      </w:pPr>
      <w:r>
        <w:rPr>
          <w:i/>
          <w:color w:val="595959"/>
          <w:sz w:val="19"/>
        </w:rPr>
        <w:t>Tabla 6. Esfuerzos y armado (modelo único consistente, Rev.02).</w:t>
      </w:r>
    </w:p>
    <w:p>
      <w:pPr>
        <w:pStyle w:val="Heading1"/>
      </w:pPr>
      <w:r>
        <w:t>7. Comprobaciones (E_d ≤ R_d)</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1512"/>
        <w:gridCol w:w="1512"/>
        <w:gridCol w:w="1512"/>
        <w:gridCol w:w="1512"/>
        <w:gridCol w:w="1512"/>
        <w:gridCol w:w="1512"/>
      </w:tblGrid>
      <w:tr>
        <w:trPr>
          <w:tblHeader w:val="true"/>
          <w:cantSplit w:val="true"/>
        </w:trPr>
        <w:tc>
          <w:tcPr>
            <w:tcW w:type="dxa" w:w="1512"/>
            <w:tcBorders>
              <w:left w:val="single" w:sz="4" w:space="0" w:color="9CB7D4"/>
              <w:right w:val="single" w:sz="4" w:space="0" w:color="9CB7D4"/>
            </w:tcBorders>
            <w:shd w:val="clear" w:fill="D9E2F3"/>
          </w:tcPr>
          <w:p>
            <w:r>
              <w:rPr>
                <w:rFonts w:ascii="Arial" w:hAnsi="Arial"/>
                <w:b/>
                <w:sz w:val="19"/>
              </w:rPr>
              <w:t>Elemento · comprobación</w:t>
            </w:r>
          </w:p>
        </w:tc>
        <w:tc>
          <w:tcPr>
            <w:tcW w:type="dxa" w:w="1512"/>
            <w:tcBorders>
              <w:left w:val="single" w:sz="4" w:space="0" w:color="9CB7D4"/>
              <w:right w:val="single" w:sz="4" w:space="0" w:color="9CB7D4"/>
            </w:tcBorders>
            <w:shd w:val="clear" w:fill="D9E2F3"/>
          </w:tcPr>
          <w:p>
            <w:r>
              <w:rPr>
                <w:rFonts w:ascii="Arial" w:hAnsi="Arial"/>
                <w:b/>
                <w:sz w:val="19"/>
              </w:rPr>
              <w:t>Cláusula</w:t>
            </w:r>
          </w:p>
        </w:tc>
        <w:tc>
          <w:tcPr>
            <w:tcW w:type="dxa" w:w="1512"/>
            <w:tcBorders>
              <w:left w:val="single" w:sz="4" w:space="0" w:color="9CB7D4"/>
              <w:right w:val="single" w:sz="4" w:space="0" w:color="9CB7D4"/>
            </w:tcBorders>
            <w:shd w:val="clear" w:fill="D9E2F3"/>
          </w:tcPr>
          <w:p>
            <w:r>
              <w:rPr>
                <w:rFonts w:ascii="Arial" w:hAnsi="Arial"/>
                <w:b/>
                <w:sz w:val="19"/>
              </w:rPr>
              <w:t>E_d</w:t>
            </w:r>
          </w:p>
        </w:tc>
        <w:tc>
          <w:tcPr>
            <w:tcW w:type="dxa" w:w="1512"/>
            <w:tcBorders>
              <w:left w:val="single" w:sz="4" w:space="0" w:color="9CB7D4"/>
              <w:right w:val="single" w:sz="4" w:space="0" w:color="9CB7D4"/>
            </w:tcBorders>
            <w:shd w:val="clear" w:fill="D9E2F3"/>
          </w:tcPr>
          <w:p>
            <w:r>
              <w:rPr>
                <w:rFonts w:ascii="Arial" w:hAnsi="Arial"/>
                <w:b/>
                <w:sz w:val="19"/>
              </w:rPr>
              <w:t>R_d</w:t>
            </w:r>
          </w:p>
        </w:tc>
        <w:tc>
          <w:tcPr>
            <w:tcW w:type="dxa" w:w="1512"/>
            <w:tcBorders>
              <w:left w:val="single" w:sz="4" w:space="0" w:color="9CB7D4"/>
              <w:right w:val="single" w:sz="4" w:space="0" w:color="9CB7D4"/>
            </w:tcBorders>
            <w:shd w:val="clear" w:fill="D9E2F3"/>
          </w:tcPr>
          <w:p>
            <w:r>
              <w:rPr>
                <w:rFonts w:ascii="Arial" w:hAnsi="Arial"/>
                <w:b/>
                <w:sz w:val="19"/>
              </w:rPr>
              <w:t>η</w:t>
            </w:r>
          </w:p>
        </w:tc>
        <w:tc>
          <w:tcPr>
            <w:tcW w:type="dxa" w:w="1512"/>
            <w:tcBorders>
              <w:left w:val="single" w:sz="4" w:space="0" w:color="9CB7D4"/>
              <w:right w:val="single" w:sz="4" w:space="0" w:color="9CB7D4"/>
            </w:tcBorders>
            <w:shd w:val="clear" w:fill="D9E2F3"/>
          </w:tcPr>
          <w:p>
            <w:r>
              <w:rPr>
                <w:rFonts w:ascii="Arial" w:hAnsi="Arial"/>
                <w:b/>
                <w:sz w:val="19"/>
              </w:rPr>
              <w:t>Veredicto</w:t>
            </w:r>
          </w:p>
        </w:tc>
      </w:tr>
      <w:tr>
        <w:tc>
          <w:tcPr>
            <w:tcW w:type="dxa" w:w="1512"/>
          </w:tcPr>
          <w:p>
            <w:r>
              <w:rPr>
                <w:rFonts w:ascii="Arial" w:hAnsi="Arial"/>
                <w:b w:val="0"/>
                <w:sz w:val="19"/>
              </w:rPr>
              <w:t>Cubierta · vano inferior (corto)</w:t>
            </w:r>
          </w:p>
        </w:tc>
        <w:tc>
          <w:tcPr>
            <w:tcW w:type="dxa" w:w="1512"/>
          </w:tcPr>
          <w:p>
            <w:r>
              <w:rPr>
                <w:rFonts w:ascii="Arial" w:hAnsi="Arial"/>
                <w:b w:val="0"/>
                <w:sz w:val="19"/>
              </w:rPr>
              <w:t>EC2 6.1</w:t>
            </w:r>
          </w:p>
        </w:tc>
        <w:tc>
          <w:tcPr>
            <w:tcW w:type="dxa" w:w="1512"/>
          </w:tcPr>
          <w:p>
            <w:r>
              <w:rPr>
                <w:rFonts w:ascii="Arial" w:hAnsi="Arial"/>
                <w:b w:val="0"/>
                <w:sz w:val="19"/>
              </w:rPr>
              <w:t>440</w:t>
            </w:r>
          </w:p>
        </w:tc>
        <w:tc>
          <w:tcPr>
            <w:tcW w:type="dxa" w:w="1512"/>
          </w:tcPr>
          <w:p>
            <w:r>
              <w:rPr>
                <w:rFonts w:ascii="Arial" w:hAnsi="Arial"/>
                <w:b w:val="0"/>
                <w:sz w:val="19"/>
              </w:rPr>
              <w:t>823</w:t>
            </w:r>
          </w:p>
        </w:tc>
        <w:tc>
          <w:tcPr>
            <w:tcW w:type="dxa" w:w="1512"/>
          </w:tcPr>
          <w:p>
            <w:r>
              <w:rPr>
                <w:rFonts w:ascii="Arial" w:hAnsi="Arial"/>
                <w:b w:val="0"/>
                <w:sz w:val="19"/>
              </w:rPr>
              <w:t>0,53</w:t>
            </w:r>
          </w:p>
        </w:tc>
        <w:tc>
          <w:tcPr>
            <w:tcW w:type="dxa" w:w="1512"/>
          </w:tcPr>
          <w:p>
            <w:r>
              <w:rPr>
                <w:rFonts w:ascii="Arial" w:hAnsi="Arial"/>
                <w:b w:val="0"/>
                <w:sz w:val="19"/>
              </w:rPr>
              <w:t>CUMPLE</w:t>
            </w:r>
          </w:p>
        </w:tc>
      </w:tr>
      <w:tr>
        <w:tc>
          <w:tcPr>
            <w:tcW w:type="dxa" w:w="1512"/>
          </w:tcPr>
          <w:p>
            <w:r>
              <w:rPr>
                <w:rFonts w:ascii="Arial" w:hAnsi="Arial"/>
                <w:b w:val="0"/>
                <w:sz w:val="19"/>
              </w:rPr>
              <w:t>Cubierta · vano inferior (largo)</w:t>
            </w:r>
          </w:p>
        </w:tc>
        <w:tc>
          <w:tcPr>
            <w:tcW w:type="dxa" w:w="1512"/>
          </w:tcPr>
          <w:p>
            <w:r>
              <w:rPr>
                <w:rFonts w:ascii="Arial" w:hAnsi="Arial"/>
                <w:b w:val="0"/>
                <w:sz w:val="19"/>
              </w:rPr>
              <w:t>EC2 6.1</w:t>
            </w:r>
          </w:p>
        </w:tc>
        <w:tc>
          <w:tcPr>
            <w:tcW w:type="dxa" w:w="1512"/>
          </w:tcPr>
          <w:p>
            <w:r>
              <w:rPr>
                <w:rFonts w:ascii="Arial" w:hAnsi="Arial"/>
                <w:b w:val="0"/>
                <w:sz w:val="19"/>
              </w:rPr>
              <w:t>261</w:t>
            </w:r>
          </w:p>
        </w:tc>
        <w:tc>
          <w:tcPr>
            <w:tcW w:type="dxa" w:w="1512"/>
          </w:tcPr>
          <w:p>
            <w:r>
              <w:rPr>
                <w:rFonts w:ascii="Arial" w:hAnsi="Arial"/>
                <w:b w:val="0"/>
                <w:sz w:val="19"/>
              </w:rPr>
              <w:t>382</w:t>
            </w:r>
          </w:p>
        </w:tc>
        <w:tc>
          <w:tcPr>
            <w:tcW w:type="dxa" w:w="1512"/>
          </w:tcPr>
          <w:p>
            <w:r>
              <w:rPr>
                <w:rFonts w:ascii="Arial" w:hAnsi="Arial"/>
                <w:b w:val="0"/>
                <w:sz w:val="19"/>
              </w:rPr>
              <w:t>0,68</w:t>
            </w:r>
          </w:p>
        </w:tc>
        <w:tc>
          <w:tcPr>
            <w:tcW w:type="dxa" w:w="1512"/>
          </w:tcPr>
          <w:p>
            <w:r>
              <w:rPr>
                <w:rFonts w:ascii="Arial" w:hAnsi="Arial"/>
                <w:b w:val="0"/>
                <w:sz w:val="19"/>
              </w:rPr>
              <w:t>CUMPLE</w:t>
            </w:r>
          </w:p>
        </w:tc>
      </w:tr>
      <w:tr>
        <w:tc>
          <w:tcPr>
            <w:tcW w:type="dxa" w:w="1512"/>
          </w:tcPr>
          <w:p>
            <w:r>
              <w:rPr>
                <w:rFonts w:ascii="Arial" w:hAnsi="Arial"/>
                <w:b w:val="0"/>
                <w:sz w:val="19"/>
              </w:rPr>
              <w:t>Cubierta · apoyo superior</w:t>
            </w:r>
          </w:p>
        </w:tc>
        <w:tc>
          <w:tcPr>
            <w:tcW w:type="dxa" w:w="1512"/>
          </w:tcPr>
          <w:p>
            <w:r>
              <w:rPr>
                <w:rFonts w:ascii="Arial" w:hAnsi="Arial"/>
                <w:b w:val="0"/>
                <w:sz w:val="19"/>
              </w:rPr>
              <w:t>EC2 6.1</w:t>
            </w:r>
          </w:p>
        </w:tc>
        <w:tc>
          <w:tcPr>
            <w:tcW w:type="dxa" w:w="1512"/>
          </w:tcPr>
          <w:p>
            <w:r>
              <w:rPr>
                <w:rFonts w:ascii="Arial" w:hAnsi="Arial"/>
                <w:b w:val="0"/>
                <w:sz w:val="19"/>
              </w:rPr>
              <w:t>298</w:t>
            </w:r>
          </w:p>
        </w:tc>
        <w:tc>
          <w:tcPr>
            <w:tcW w:type="dxa" w:w="1512"/>
          </w:tcPr>
          <w:p>
            <w:r>
              <w:rPr>
                <w:rFonts w:ascii="Arial" w:hAnsi="Arial"/>
                <w:b w:val="0"/>
                <w:sz w:val="19"/>
              </w:rPr>
              <w:t>526</w:t>
            </w:r>
          </w:p>
        </w:tc>
        <w:tc>
          <w:tcPr>
            <w:tcW w:type="dxa" w:w="1512"/>
          </w:tcPr>
          <w:p>
            <w:r>
              <w:rPr>
                <w:rFonts w:ascii="Arial" w:hAnsi="Arial"/>
                <w:b w:val="0"/>
                <w:sz w:val="19"/>
              </w:rPr>
              <w:t>0,57</w:t>
            </w:r>
          </w:p>
        </w:tc>
        <w:tc>
          <w:tcPr>
            <w:tcW w:type="dxa" w:w="1512"/>
          </w:tcPr>
          <w:p>
            <w:r>
              <w:rPr>
                <w:rFonts w:ascii="Arial" w:hAnsi="Arial"/>
                <w:b w:val="0"/>
                <w:sz w:val="19"/>
              </w:rPr>
              <w:t>CUMPLE</w:t>
            </w:r>
          </w:p>
        </w:tc>
      </w:tr>
      <w:tr>
        <w:tc>
          <w:tcPr>
            <w:tcW w:type="dxa" w:w="1512"/>
          </w:tcPr>
          <w:p>
            <w:r>
              <w:rPr>
                <w:rFonts w:ascii="Arial" w:hAnsi="Arial"/>
                <w:b w:val="0"/>
                <w:sz w:val="19"/>
              </w:rPr>
              <w:t>Cubierta · vano · fisura (φ25/150)</w:t>
            </w:r>
          </w:p>
        </w:tc>
        <w:tc>
          <w:tcPr>
            <w:tcW w:type="dxa" w:w="1512"/>
          </w:tcPr>
          <w:p>
            <w:r>
              <w:rPr>
                <w:rFonts w:ascii="Arial" w:hAnsi="Arial"/>
                <w:b w:val="0"/>
                <w:sz w:val="19"/>
              </w:rPr>
              <w:t>EN 1992-3</w:t>
            </w:r>
          </w:p>
        </w:tc>
        <w:tc>
          <w:tcPr>
            <w:tcW w:type="dxa" w:w="1512"/>
          </w:tcPr>
          <w:p>
            <w:r>
              <w:rPr>
                <w:rFonts w:ascii="Arial" w:hAnsi="Arial"/>
                <w:b w:val="0"/>
                <w:sz w:val="19"/>
              </w:rPr>
              <w:t>0,169 mm</w:t>
            </w:r>
          </w:p>
        </w:tc>
        <w:tc>
          <w:tcPr>
            <w:tcW w:type="dxa" w:w="1512"/>
          </w:tcPr>
          <w:p>
            <w:r>
              <w:rPr>
                <w:rFonts w:ascii="Arial" w:hAnsi="Arial"/>
                <w:b w:val="0"/>
                <w:sz w:val="19"/>
              </w:rPr>
              <w:t>0,20 mm</w:t>
            </w:r>
          </w:p>
        </w:tc>
        <w:tc>
          <w:tcPr>
            <w:tcW w:type="dxa" w:w="1512"/>
          </w:tcPr>
          <w:p>
            <w:r>
              <w:rPr>
                <w:rFonts w:ascii="Arial" w:hAnsi="Arial"/>
                <w:b w:val="0"/>
                <w:sz w:val="19"/>
              </w:rPr>
              <w:t>0,85</w:t>
            </w:r>
          </w:p>
        </w:tc>
        <w:tc>
          <w:tcPr>
            <w:tcW w:type="dxa" w:w="1512"/>
          </w:tcPr>
          <w:p>
            <w:r>
              <w:rPr>
                <w:rFonts w:ascii="Arial" w:hAnsi="Arial"/>
                <w:b w:val="0"/>
                <w:sz w:val="19"/>
              </w:rPr>
              <w:t>CUMPLE</w:t>
            </w:r>
          </w:p>
        </w:tc>
      </w:tr>
      <w:tr>
        <w:tc>
          <w:tcPr>
            <w:tcW w:type="dxa" w:w="1512"/>
          </w:tcPr>
          <w:p>
            <w:r>
              <w:rPr>
                <w:rFonts w:ascii="Arial" w:hAnsi="Arial"/>
                <w:b w:val="0"/>
                <w:sz w:val="19"/>
              </w:rPr>
              <w:t>Cubierta · punzonamiento</w:t>
            </w:r>
          </w:p>
        </w:tc>
        <w:tc>
          <w:tcPr>
            <w:tcW w:type="dxa" w:w="1512"/>
          </w:tcPr>
          <w:p>
            <w:r>
              <w:rPr>
                <w:rFonts w:ascii="Arial" w:hAnsi="Arial"/>
                <w:b w:val="0"/>
                <w:sz w:val="19"/>
              </w:rPr>
              <w:t>EC2 6.4</w:t>
            </w:r>
          </w:p>
        </w:tc>
        <w:tc>
          <w:tcPr>
            <w:tcW w:type="dxa" w:w="1512"/>
          </w:tcPr>
          <w:p>
            <w:r>
              <w:rPr>
                <w:rFonts w:ascii="Arial" w:hAnsi="Arial"/>
                <w:b w:val="0"/>
                <w:sz w:val="19"/>
              </w:rPr>
              <w:t>0,036 MPa</w:t>
            </w:r>
          </w:p>
        </w:tc>
        <w:tc>
          <w:tcPr>
            <w:tcW w:type="dxa" w:w="1512"/>
          </w:tcPr>
          <w:p>
            <w:r>
              <w:rPr>
                <w:rFonts w:ascii="Arial" w:hAnsi="Arial"/>
                <w:b w:val="0"/>
                <w:sz w:val="19"/>
              </w:rPr>
              <w:t>0,581 MPa</w:t>
            </w:r>
          </w:p>
        </w:tc>
        <w:tc>
          <w:tcPr>
            <w:tcW w:type="dxa" w:w="1512"/>
          </w:tcPr>
          <w:p>
            <w:r>
              <w:rPr>
                <w:rFonts w:ascii="Arial" w:hAnsi="Arial"/>
                <w:b w:val="0"/>
                <w:sz w:val="19"/>
              </w:rPr>
              <w:t>0,06</w:t>
            </w:r>
          </w:p>
        </w:tc>
        <w:tc>
          <w:tcPr>
            <w:tcW w:type="dxa" w:w="1512"/>
          </w:tcPr>
          <w:p>
            <w:r>
              <w:rPr>
                <w:rFonts w:ascii="Arial" w:hAnsi="Arial"/>
                <w:b w:val="0"/>
                <w:sz w:val="19"/>
              </w:rPr>
              <w:t>CUMPLE</w:t>
            </w:r>
          </w:p>
        </w:tc>
      </w:tr>
      <w:tr>
        <w:tc>
          <w:tcPr>
            <w:tcW w:type="dxa" w:w="1512"/>
          </w:tcPr>
          <w:p>
            <w:r>
              <w:rPr>
                <w:rFonts w:ascii="Arial" w:hAnsi="Arial"/>
                <w:b w:val="0"/>
                <w:sz w:val="19"/>
              </w:rPr>
              <w:t>Muro · cabeza/esquina (exterior)</w:t>
            </w:r>
          </w:p>
        </w:tc>
        <w:tc>
          <w:tcPr>
            <w:tcW w:type="dxa" w:w="1512"/>
          </w:tcPr>
          <w:p>
            <w:r>
              <w:rPr>
                <w:rFonts w:ascii="Arial" w:hAnsi="Arial"/>
                <w:b w:val="0"/>
                <w:sz w:val="19"/>
              </w:rPr>
              <w:t>EC2 6.1</w:t>
            </w:r>
          </w:p>
        </w:tc>
        <w:tc>
          <w:tcPr>
            <w:tcW w:type="dxa" w:w="1512"/>
          </w:tcPr>
          <w:p>
            <w:r>
              <w:rPr>
                <w:rFonts w:ascii="Arial" w:hAnsi="Arial"/>
                <w:b w:val="0"/>
                <w:sz w:val="19"/>
              </w:rPr>
              <w:t>298</w:t>
            </w:r>
          </w:p>
        </w:tc>
        <w:tc>
          <w:tcPr>
            <w:tcW w:type="dxa" w:w="1512"/>
          </w:tcPr>
          <w:p>
            <w:r>
              <w:rPr>
                <w:rFonts w:ascii="Arial" w:hAnsi="Arial"/>
                <w:b w:val="0"/>
                <w:sz w:val="19"/>
              </w:rPr>
              <w:t>427</w:t>
            </w:r>
          </w:p>
        </w:tc>
        <w:tc>
          <w:tcPr>
            <w:tcW w:type="dxa" w:w="1512"/>
          </w:tcPr>
          <w:p>
            <w:r>
              <w:rPr>
                <w:rFonts w:ascii="Arial" w:hAnsi="Arial"/>
                <w:b w:val="0"/>
                <w:sz w:val="19"/>
              </w:rPr>
              <w:t>0,70</w:t>
            </w:r>
          </w:p>
        </w:tc>
        <w:tc>
          <w:tcPr>
            <w:tcW w:type="dxa" w:w="1512"/>
          </w:tcPr>
          <w:p>
            <w:r>
              <w:rPr>
                <w:rFonts w:ascii="Arial" w:hAnsi="Arial"/>
                <w:b w:val="0"/>
                <w:sz w:val="19"/>
              </w:rPr>
              <w:t>CUMPLE</w:t>
            </w:r>
          </w:p>
        </w:tc>
      </w:tr>
      <w:tr>
        <w:tc>
          <w:tcPr>
            <w:tcW w:type="dxa" w:w="1512"/>
          </w:tcPr>
          <w:p>
            <w:r>
              <w:rPr>
                <w:rFonts w:ascii="Arial" w:hAnsi="Arial"/>
                <w:b w:val="0"/>
                <w:sz w:val="19"/>
              </w:rPr>
              <w:t>Muro · base</w:t>
            </w:r>
          </w:p>
        </w:tc>
        <w:tc>
          <w:tcPr>
            <w:tcW w:type="dxa" w:w="1512"/>
          </w:tcPr>
          <w:p>
            <w:r>
              <w:rPr>
                <w:rFonts w:ascii="Arial" w:hAnsi="Arial"/>
                <w:b w:val="0"/>
                <w:sz w:val="19"/>
              </w:rPr>
              <w:t>EC2 6.1</w:t>
            </w:r>
          </w:p>
        </w:tc>
        <w:tc>
          <w:tcPr>
            <w:tcW w:type="dxa" w:w="1512"/>
          </w:tcPr>
          <w:p>
            <w:r>
              <w:rPr>
                <w:rFonts w:ascii="Arial" w:hAnsi="Arial"/>
                <w:b w:val="0"/>
                <w:sz w:val="19"/>
              </w:rPr>
              <w:t>92</w:t>
            </w:r>
          </w:p>
        </w:tc>
        <w:tc>
          <w:tcPr>
            <w:tcW w:type="dxa" w:w="1512"/>
          </w:tcPr>
          <w:p>
            <w:r>
              <w:rPr>
                <w:rFonts w:ascii="Arial" w:hAnsi="Arial"/>
                <w:b w:val="0"/>
                <w:sz w:val="19"/>
              </w:rPr>
              <w:t>274</w:t>
            </w:r>
          </w:p>
        </w:tc>
        <w:tc>
          <w:tcPr>
            <w:tcW w:type="dxa" w:w="1512"/>
          </w:tcPr>
          <w:p>
            <w:r>
              <w:rPr>
                <w:rFonts w:ascii="Arial" w:hAnsi="Arial"/>
                <w:b w:val="0"/>
                <w:sz w:val="19"/>
              </w:rPr>
              <w:t>0,34</w:t>
            </w:r>
          </w:p>
        </w:tc>
        <w:tc>
          <w:tcPr>
            <w:tcW w:type="dxa" w:w="1512"/>
          </w:tcPr>
          <w:p>
            <w:r>
              <w:rPr>
                <w:rFonts w:ascii="Arial" w:hAnsi="Arial"/>
                <w:b w:val="0"/>
                <w:sz w:val="19"/>
              </w:rPr>
              <w:t>CUMPLE</w:t>
            </w:r>
          </w:p>
        </w:tc>
      </w:tr>
      <w:tr>
        <w:tc>
          <w:tcPr>
            <w:tcW w:type="dxa" w:w="1512"/>
          </w:tcPr>
          <w:p>
            <w:r>
              <w:rPr>
                <w:rFonts w:ascii="Arial" w:hAnsi="Arial"/>
                <w:b w:val="0"/>
                <w:sz w:val="19"/>
              </w:rPr>
              <w:t>Muro · fisura cara agua</w:t>
            </w:r>
          </w:p>
        </w:tc>
        <w:tc>
          <w:tcPr>
            <w:tcW w:type="dxa" w:w="1512"/>
          </w:tcPr>
          <w:p>
            <w:r>
              <w:rPr>
                <w:rFonts w:ascii="Arial" w:hAnsi="Arial"/>
                <w:b w:val="0"/>
                <w:sz w:val="19"/>
              </w:rPr>
              <w:t>EN 1992-3</w:t>
            </w:r>
          </w:p>
        </w:tc>
        <w:tc>
          <w:tcPr>
            <w:tcW w:type="dxa" w:w="1512"/>
          </w:tcPr>
          <w:p>
            <w:r>
              <w:rPr>
                <w:rFonts w:ascii="Arial" w:hAnsi="Arial"/>
                <w:b w:val="0"/>
                <w:sz w:val="19"/>
              </w:rPr>
              <w:t>0,128 mm</w:t>
            </w:r>
          </w:p>
        </w:tc>
        <w:tc>
          <w:tcPr>
            <w:tcW w:type="dxa" w:w="1512"/>
          </w:tcPr>
          <w:p>
            <w:r>
              <w:rPr>
                <w:rFonts w:ascii="Arial" w:hAnsi="Arial"/>
                <w:b w:val="0"/>
                <w:sz w:val="19"/>
              </w:rPr>
              <w:t>0,20 mm</w:t>
            </w:r>
          </w:p>
        </w:tc>
        <w:tc>
          <w:tcPr>
            <w:tcW w:type="dxa" w:w="1512"/>
          </w:tcPr>
          <w:p>
            <w:r>
              <w:rPr>
                <w:rFonts w:ascii="Arial" w:hAnsi="Arial"/>
                <w:b w:val="0"/>
                <w:sz w:val="19"/>
              </w:rPr>
              <w:t>0,64</w:t>
            </w:r>
          </w:p>
        </w:tc>
        <w:tc>
          <w:tcPr>
            <w:tcW w:type="dxa" w:w="1512"/>
          </w:tcPr>
          <w:p>
            <w:r>
              <w:rPr>
                <w:rFonts w:ascii="Arial" w:hAnsi="Arial"/>
                <w:b w:val="0"/>
                <w:sz w:val="19"/>
              </w:rPr>
              <w:t>CUMPLE</w:t>
            </w:r>
          </w:p>
        </w:tc>
      </w:tr>
      <w:tr>
        <w:tc>
          <w:tcPr>
            <w:tcW w:type="dxa" w:w="1512"/>
          </w:tcPr>
          <w:p>
            <w:r>
              <w:rPr>
                <w:rFonts w:ascii="Arial" w:hAnsi="Arial"/>
                <w:b w:val="0"/>
                <w:sz w:val="19"/>
              </w:rPr>
              <w:t>Solera · flexión</w:t>
            </w:r>
          </w:p>
        </w:tc>
        <w:tc>
          <w:tcPr>
            <w:tcW w:type="dxa" w:w="1512"/>
          </w:tcPr>
          <w:p>
            <w:r>
              <w:rPr>
                <w:rFonts w:ascii="Arial" w:hAnsi="Arial"/>
                <w:b w:val="0"/>
                <w:sz w:val="19"/>
              </w:rPr>
              <w:t>EC2 6.1</w:t>
            </w:r>
          </w:p>
        </w:tc>
        <w:tc>
          <w:tcPr>
            <w:tcW w:type="dxa" w:w="1512"/>
          </w:tcPr>
          <w:p>
            <w:r>
              <w:rPr>
                <w:rFonts w:ascii="Arial" w:hAnsi="Arial"/>
                <w:b w:val="0"/>
                <w:sz w:val="19"/>
              </w:rPr>
              <w:t>133</w:t>
            </w:r>
          </w:p>
        </w:tc>
        <w:tc>
          <w:tcPr>
            <w:tcW w:type="dxa" w:w="1512"/>
          </w:tcPr>
          <w:p>
            <w:r>
              <w:rPr>
                <w:rFonts w:ascii="Arial" w:hAnsi="Arial"/>
                <w:b w:val="0"/>
                <w:sz w:val="19"/>
              </w:rPr>
              <w:t>383</w:t>
            </w:r>
          </w:p>
        </w:tc>
        <w:tc>
          <w:tcPr>
            <w:tcW w:type="dxa" w:w="1512"/>
          </w:tcPr>
          <w:p>
            <w:r>
              <w:rPr>
                <w:rFonts w:ascii="Arial" w:hAnsi="Arial"/>
                <w:b w:val="0"/>
                <w:sz w:val="19"/>
              </w:rPr>
              <w:t>0,35</w:t>
            </w:r>
          </w:p>
        </w:tc>
        <w:tc>
          <w:tcPr>
            <w:tcW w:type="dxa" w:w="1512"/>
          </w:tcPr>
          <w:p>
            <w:r>
              <w:rPr>
                <w:rFonts w:ascii="Arial" w:hAnsi="Arial"/>
                <w:b w:val="0"/>
                <w:sz w:val="19"/>
              </w:rPr>
              <w:t>CUMPLE</w:t>
            </w:r>
          </w:p>
        </w:tc>
      </w:tr>
      <w:tr>
        <w:tc>
          <w:tcPr>
            <w:tcW w:type="dxa" w:w="1512"/>
          </w:tcPr>
          <w:p>
            <w:r>
              <w:rPr>
                <w:rFonts w:ascii="Arial" w:hAnsi="Arial"/>
                <w:b w:val="0"/>
                <w:sz w:val="19"/>
              </w:rPr>
              <w:t>Solera · fisura</w:t>
            </w:r>
          </w:p>
        </w:tc>
        <w:tc>
          <w:tcPr>
            <w:tcW w:type="dxa" w:w="1512"/>
          </w:tcPr>
          <w:p>
            <w:r>
              <w:rPr>
                <w:rFonts w:ascii="Arial" w:hAnsi="Arial"/>
                <w:b w:val="0"/>
                <w:sz w:val="19"/>
              </w:rPr>
              <w:t>EN 1992-3</w:t>
            </w:r>
          </w:p>
        </w:tc>
        <w:tc>
          <w:tcPr>
            <w:tcW w:type="dxa" w:w="1512"/>
          </w:tcPr>
          <w:p>
            <w:r>
              <w:rPr>
                <w:rFonts w:ascii="Arial" w:hAnsi="Arial"/>
                <w:b w:val="0"/>
                <w:sz w:val="19"/>
              </w:rPr>
              <w:t>0,179 mm</w:t>
            </w:r>
          </w:p>
        </w:tc>
        <w:tc>
          <w:tcPr>
            <w:tcW w:type="dxa" w:w="1512"/>
          </w:tcPr>
          <w:p>
            <w:r>
              <w:rPr>
                <w:rFonts w:ascii="Arial" w:hAnsi="Arial"/>
                <w:b w:val="0"/>
                <w:sz w:val="19"/>
              </w:rPr>
              <w:t>0,20 mm</w:t>
            </w:r>
          </w:p>
        </w:tc>
        <w:tc>
          <w:tcPr>
            <w:tcW w:type="dxa" w:w="1512"/>
          </w:tcPr>
          <w:p>
            <w:r>
              <w:rPr>
                <w:rFonts w:ascii="Arial" w:hAnsi="Arial"/>
                <w:b w:val="0"/>
                <w:sz w:val="19"/>
              </w:rPr>
              <w:t>0,90</w:t>
            </w:r>
          </w:p>
        </w:tc>
        <w:tc>
          <w:tcPr>
            <w:tcW w:type="dxa" w:w="1512"/>
          </w:tcPr>
          <w:p>
            <w:r>
              <w:rPr>
                <w:rFonts w:ascii="Arial" w:hAnsi="Arial"/>
                <w:b w:val="0"/>
                <w:sz w:val="19"/>
              </w:rPr>
              <w:t>CUMPLE</w:t>
            </w:r>
          </w:p>
        </w:tc>
      </w:tr>
      <w:tr>
        <w:tc>
          <w:tcPr>
            <w:tcW w:type="dxa" w:w="1512"/>
          </w:tcPr>
          <w:p>
            <w:r>
              <w:rPr>
                <w:rFonts w:ascii="Arial" w:hAnsi="Arial"/>
                <w:b w:val="0"/>
                <w:sz w:val="19"/>
              </w:rPr>
              <w:t>Flotación (freático doc.)</w:t>
            </w:r>
          </w:p>
        </w:tc>
        <w:tc>
          <w:tcPr>
            <w:tcW w:type="dxa" w:w="1512"/>
          </w:tcPr>
          <w:p>
            <w:r>
              <w:rPr>
                <w:rFonts w:ascii="Arial" w:hAnsi="Arial"/>
                <w:b w:val="0"/>
                <w:sz w:val="19"/>
              </w:rPr>
              <w:t>EC7 UPL</w:t>
            </w:r>
          </w:p>
        </w:tc>
        <w:tc>
          <w:tcPr>
            <w:tcW w:type="dxa" w:w="1512"/>
          </w:tcPr>
          <w:p>
            <w:r>
              <w:rPr>
                <w:rFonts w:ascii="Arial" w:hAnsi="Arial"/>
                <w:b w:val="0"/>
                <w:sz w:val="19"/>
              </w:rPr>
              <w:t>0 kN</w:t>
            </w:r>
          </w:p>
        </w:tc>
        <w:tc>
          <w:tcPr>
            <w:tcW w:type="dxa" w:w="1512"/>
          </w:tcPr>
          <w:p>
            <w:r>
              <w:rPr>
                <w:rFonts w:ascii="Arial" w:hAnsi="Arial"/>
                <w:b w:val="0"/>
                <w:sz w:val="19"/>
              </w:rPr>
              <w:t>10.920 kN</w:t>
            </w:r>
          </w:p>
        </w:tc>
        <w:tc>
          <w:tcPr>
            <w:tcW w:type="dxa" w:w="1512"/>
          </w:tcPr>
          <w:p>
            <w:r>
              <w:rPr>
                <w:rFonts w:ascii="Arial" w:hAnsi="Arial"/>
                <w:b w:val="0"/>
                <w:sz w:val="19"/>
              </w:rPr>
              <w:t>—</w:t>
            </w:r>
          </w:p>
        </w:tc>
        <w:tc>
          <w:tcPr>
            <w:tcW w:type="dxa" w:w="1512"/>
          </w:tcPr>
          <w:p>
            <w:r>
              <w:rPr>
                <w:rFonts w:ascii="Arial" w:hAnsi="Arial"/>
                <w:b w:val="0"/>
                <w:sz w:val="19"/>
              </w:rPr>
              <w:t>CUMPLE</w:t>
            </w:r>
          </w:p>
        </w:tc>
      </w:tr>
    </w:tbl>
    <w:p>
      <w:pPr>
        <w:jc w:val="left"/>
      </w:pPr>
      <w:r>
        <w:rPr>
          <w:i/>
          <w:color w:val="595959"/>
          <w:sz w:val="19"/>
        </w:rPr>
        <w:t>Tabla 7. Resumen de comprobaciones (η = E_d/R_d).</w:t>
      </w:r>
    </w:p>
    <w:p>
      <w:pPr>
        <w:jc w:val="center"/>
      </w:pPr>
      <w:r>
        <w:drawing>
          <wp:inline xmlns:a="http://schemas.openxmlformats.org/drawingml/2006/main" xmlns:pic="http://schemas.openxmlformats.org/drawingml/2006/picture">
            <wp:extent cx="5760000" cy="4772992"/>
            <wp:docPr id="3" name="Picture 3"/>
            <wp:cNvGraphicFramePr>
              <a:graphicFrameLocks noChangeAspect="1"/>
            </wp:cNvGraphicFramePr>
            <a:graphic>
              <a:graphicData uri="http://schemas.openxmlformats.org/drawingml/2006/picture">
                <pic:pic>
                  <pic:nvPicPr>
                    <pic:cNvPr id="0" name="aprov_v3.png"/>
                    <pic:cNvPicPr/>
                  </pic:nvPicPr>
                  <pic:blipFill>
                    <a:blip r:embed="rId11"/>
                    <a:stretch>
                      <a:fillRect/>
                    </a:stretch>
                  </pic:blipFill>
                  <pic:spPr>
                    <a:xfrm>
                      <a:off x="0" y="0"/>
                      <a:ext cx="5760000" cy="4772992"/>
                    </a:xfrm>
                    <a:prstGeom prst="rect"/>
                  </pic:spPr>
                </pic:pic>
              </a:graphicData>
            </a:graphic>
          </wp:inline>
        </w:drawing>
      </w:r>
    </w:p>
    <w:p>
      <w:pPr>
        <w:jc w:val="left"/>
      </w:pPr>
      <w:r>
        <w:rPr>
          <w:i/>
          <w:color w:val="595959"/>
          <w:sz w:val="19"/>
        </w:rPr>
        <w:t>Figura 3. Aprovechamientos por comprobación (límite η = 1,0).</w:t>
      </w:r>
    </w:p>
    <w:p>
      <w:pPr>
        <w:pStyle w:val="Heading1"/>
      </w:pPr>
      <w:r>
        <w:t>8. Conclusiones y limitaciones</w:t>
      </w:r>
    </w:p>
    <w:p>
      <w:r>
        <w:t>Con la unión rígida muro-losa modelada de forma consistente (placa 2D con rigidez real del muro), todos los elementos cumplen con aprovechamiento máximo 0,70 (cabeza del muro). La unión rígida es FAVORABLE: el armado inferior de la cubierta baja de φ25/100 (bi-apoyada) a φ25/150, el reparto bidireccional alivia el vano, y aparece armadura superior sobre muros (φ20/150) y mayor armadura en la cabeza de los muros (φ25/200, cara exterior). Paramentos en contacto con agua: w_k ≤ 0,20 mm.</w:t>
      </w:r>
    </w:p>
    <w:p>
      <w:r>
        <w:t>VERIFICACIÓN QA INDEPENDIENTE (Rev.02): la QA construyó una LÁMINA 2D COMPLETA del cajón (cubierta + muros + solera acoplados, sin la aproximación de muelle) validada contra Navier (−0,3 %). Confirma el par consistente vano≈420–440 / esquina≈218–250 (el 440/249 de proyecto cae dentro de tolerancia 10 %) y el w_k=0,169 del φ25/150. VEREDICTO QA: LIMPIO CON OBSERVACIONES (verde con gates). Observaciones a recoger: (O-A) el pico bajo el tándem es sensible a la malla, el vano puede llegar a ~460 kN·m/m (η≈0,56, sigue holgado) → mantener φ25/150, no reducir a φ20/150; (O-B) w_k en la cabeza del muro = 0,198 mm, justo en el límite de 0,20 mm. Informe: qa/informes/QA_cajon_Rev02_decopak_2026-06-24.md.</w:t>
      </w:r>
    </w:p>
    <w:p>
      <w:r>
        <w:t>Condiciones y gates pendientes de JM antes de la firma:</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3024"/>
        <w:gridCol w:w="3024"/>
        <w:gridCol w:w="3024"/>
      </w:tblGrid>
      <w:tr>
        <w:trPr>
          <w:tblHeader w:val="true"/>
          <w:cantSplit w:val="true"/>
        </w:trPr>
        <w:tc>
          <w:tcPr>
            <w:tcW w:type="dxa" w:w="3024"/>
            <w:tcBorders>
              <w:left w:val="single" w:sz="4" w:space="0" w:color="9CB7D4"/>
              <w:right w:val="single" w:sz="4" w:space="0" w:color="9CB7D4"/>
            </w:tcBorders>
            <w:shd w:val="clear" w:fill="D9E2F3"/>
          </w:tcPr>
          <w:p>
            <w:r>
              <w:rPr>
                <w:rFonts w:ascii="Arial" w:hAnsi="Arial"/>
                <w:b/>
                <w:sz w:val="19"/>
              </w:rPr>
              <w:t>#</w:t>
            </w:r>
          </w:p>
        </w:tc>
        <w:tc>
          <w:tcPr>
            <w:tcW w:type="dxa" w:w="3024"/>
            <w:tcBorders>
              <w:left w:val="single" w:sz="4" w:space="0" w:color="9CB7D4"/>
              <w:right w:val="single" w:sz="4" w:space="0" w:color="9CB7D4"/>
            </w:tcBorders>
            <w:shd w:val="clear" w:fill="D9E2F3"/>
          </w:tcPr>
          <w:p>
            <w:r>
              <w:rPr>
                <w:rFonts w:ascii="Arial" w:hAnsi="Arial"/>
                <w:b/>
                <w:sz w:val="19"/>
              </w:rPr>
              <w:t>Gate</w:t>
            </w:r>
          </w:p>
        </w:tc>
        <w:tc>
          <w:tcPr>
            <w:tcW w:type="dxa" w:w="3024"/>
            <w:tcBorders>
              <w:left w:val="single" w:sz="4" w:space="0" w:color="9CB7D4"/>
              <w:right w:val="single" w:sz="4" w:space="0" w:color="9CB7D4"/>
            </w:tcBorders>
            <w:shd w:val="clear" w:fill="D9E2F3"/>
          </w:tcPr>
          <w:p>
            <w:r>
              <w:rPr>
                <w:rFonts w:ascii="Arial" w:hAnsi="Arial"/>
                <w:b/>
                <w:sz w:val="19"/>
              </w:rPr>
              <w:t>Acción requerida</w:t>
            </w:r>
          </w:p>
        </w:tc>
      </w:tr>
      <w:tr>
        <w:tc>
          <w:tcPr>
            <w:tcW w:type="dxa" w:w="3024"/>
          </w:tcPr>
          <w:p>
            <w:r>
              <w:rPr>
                <w:rFonts w:ascii="Arial" w:hAnsi="Arial"/>
                <w:b w:val="0"/>
                <w:sz w:val="19"/>
              </w:rPr>
              <w:t>G1</w:t>
            </w:r>
          </w:p>
        </w:tc>
        <w:tc>
          <w:tcPr>
            <w:tcW w:type="dxa" w:w="3024"/>
          </w:tcPr>
          <w:p>
            <w:r>
              <w:rPr>
                <w:rFonts w:ascii="Arial" w:hAnsi="Arial"/>
                <w:b w:val="0"/>
                <w:sz w:val="19"/>
              </w:rPr>
              <w:t>Cota de implantación y freático real</w:t>
            </w:r>
          </w:p>
        </w:tc>
        <w:tc>
          <w:tcPr>
            <w:tcW w:type="dxa" w:w="3024"/>
          </w:tcPr>
          <w:p>
            <w:r>
              <w:rPr>
                <w:rFonts w:ascii="Arial" w:hAnsi="Arial"/>
                <w:b w:val="0"/>
                <w:sz w:val="19"/>
              </w:rPr>
              <w:t>si el freático sube, el vaso vacío flota (FS=0,65) → lastre/anclajes/válvula</w:t>
            </w:r>
          </w:p>
        </w:tc>
      </w:tr>
      <w:tr>
        <w:tc>
          <w:tcPr>
            <w:tcW w:type="dxa" w:w="3024"/>
          </w:tcPr>
          <w:p>
            <w:r>
              <w:rPr>
                <w:rFonts w:ascii="Arial" w:hAnsi="Arial"/>
                <w:b w:val="0"/>
                <w:sz w:val="19"/>
              </w:rPr>
              <w:t>G2</w:t>
            </w:r>
          </w:p>
        </w:tc>
        <w:tc>
          <w:tcPr>
            <w:tcW w:type="dxa" w:w="3024"/>
          </w:tcPr>
          <w:p>
            <w:r>
              <w:rPr>
                <w:rFonts w:ascii="Arial" w:hAnsi="Arial"/>
                <w:b w:val="0"/>
                <w:sz w:val="19"/>
              </w:rPr>
              <w:t>Re-QA de la Rev.02 — HECHA</w:t>
            </w:r>
          </w:p>
        </w:tc>
        <w:tc>
          <w:tcPr>
            <w:tcW w:type="dxa" w:w="3024"/>
          </w:tcPr>
          <w:p>
            <w:r>
              <w:rPr>
                <w:rFonts w:ascii="Arial" w:hAnsi="Arial"/>
                <w:b w:val="0"/>
                <w:sz w:val="19"/>
              </w:rPr>
              <w:t>verde con observaciones (lámina 2D completa); O-A/O-B recogidas; G-DEP-05 congelable en verde tras anclar el motor</w:t>
            </w:r>
          </w:p>
        </w:tc>
      </w:tr>
      <w:tr>
        <w:tc>
          <w:tcPr>
            <w:tcW w:type="dxa" w:w="3024"/>
          </w:tcPr>
          <w:p>
            <w:r>
              <w:rPr>
                <w:rFonts w:ascii="Arial" w:hAnsi="Arial"/>
                <w:b w:val="0"/>
                <w:sz w:val="19"/>
              </w:rPr>
              <w:t>G3</w:t>
            </w:r>
          </w:p>
        </w:tc>
        <w:tc>
          <w:tcPr>
            <w:tcW w:type="dxa" w:w="3024"/>
          </w:tcPr>
          <w:p>
            <w:r>
              <w:rPr>
                <w:rFonts w:ascii="Arial" w:hAnsi="Arial"/>
                <w:b w:val="0"/>
                <w:sz w:val="19"/>
              </w:rPr>
              <w:t>Acción sísmica (EC8-4 hidrodinámico)</w:t>
            </w:r>
          </w:p>
        </w:tc>
        <w:tc>
          <w:tcPr>
            <w:tcW w:type="dxa" w:w="3024"/>
          </w:tcPr>
          <w:p>
            <w:r>
              <w:rPr>
                <w:rFonts w:ascii="Arial" w:hAnsi="Arial"/>
                <w:b w:val="0"/>
                <w:sz w:val="19"/>
              </w:rPr>
              <w:t>cuantificar combinación accidental [PENDIENTE]</w:t>
            </w:r>
          </w:p>
        </w:tc>
      </w:tr>
      <w:tr>
        <w:tc>
          <w:tcPr>
            <w:tcW w:type="dxa" w:w="3024"/>
          </w:tcPr>
          <w:p>
            <w:r>
              <w:rPr>
                <w:rFonts w:ascii="Arial" w:hAnsi="Arial"/>
                <w:b w:val="0"/>
                <w:sz w:val="19"/>
              </w:rPr>
              <w:t>G4</w:t>
            </w:r>
          </w:p>
        </w:tc>
        <w:tc>
          <w:tcPr>
            <w:tcW w:type="dxa" w:w="3024"/>
          </w:tcPr>
          <w:p>
            <w:r>
              <w:rPr>
                <w:rFonts w:ascii="Arial" w:hAnsi="Arial"/>
                <w:b w:val="0"/>
                <w:sz w:val="19"/>
              </w:rPr>
              <w:t>Estanqueidad de la cubierta</w:t>
            </w:r>
          </w:p>
        </w:tc>
        <w:tc>
          <w:tcPr>
            <w:tcW w:type="dxa" w:w="3024"/>
          </w:tcPr>
          <w:p>
            <w:r>
              <w:rPr>
                <w:rFonts w:ascii="Arial" w:hAnsi="Arial"/>
                <w:b w:val="0"/>
                <w:sz w:val="19"/>
              </w:rPr>
              <w:t>cara inferior mojada → φ25/150 (w_k 0,169); con resguardo → φ20/150</w:t>
            </w:r>
          </w:p>
        </w:tc>
      </w:tr>
      <w:tr>
        <w:tc>
          <w:tcPr>
            <w:tcW w:type="dxa" w:w="3024"/>
          </w:tcPr>
          <w:p>
            <w:r>
              <w:rPr>
                <w:rFonts w:ascii="Arial" w:hAnsi="Arial"/>
                <w:b w:val="0"/>
                <w:sz w:val="19"/>
              </w:rPr>
              <w:t>G5</w:t>
            </w:r>
          </w:p>
        </w:tc>
        <w:tc>
          <w:tcPr>
            <w:tcW w:type="dxa" w:w="3024"/>
          </w:tcPr>
          <w:p>
            <w:r>
              <w:rPr>
                <w:rFonts w:ascii="Arial" w:hAnsi="Arial"/>
                <w:b w:val="0"/>
                <w:sz w:val="19"/>
              </w:rPr>
              <w:t>versions.lock = 0.0.0</w:t>
            </w:r>
          </w:p>
        </w:tc>
        <w:tc>
          <w:tcPr>
            <w:tcW w:type="dxa" w:w="3024"/>
          </w:tcPr>
          <w:p>
            <w:r>
              <w:rPr>
                <w:rFonts w:ascii="Arial" w:hAnsi="Arial"/>
                <w:b w:val="0"/>
                <w:sz w:val="19"/>
              </w:rPr>
              <w:t>versión del núcleo NO anclada; cálculo con motor propio (reproducible)</w:t>
            </w:r>
          </w:p>
        </w:tc>
      </w:tr>
    </w:tbl>
    <w:p>
      <w:pPr>
        <w:jc w:val="left"/>
      </w:pPr>
      <w:r>
        <w:rPr>
          <w:i/>
          <w:color w:val="595959"/>
          <w:sz w:val="19"/>
        </w:rPr>
        <w:t>Tabla 8. Gates abiertos para la certificación de dos llaves.</w:t>
      </w:r>
    </w:p>
    <w:p>
      <w:pPr>
        <w:pStyle w:val="Heading1"/>
      </w:pPr>
      <w:r>
        <w:t>9. Anexos y trazabilidad</w:t>
      </w:r>
    </w:p>
    <w:p>
      <w:r>
        <w:t>Modelo IFC2X3 → ifcopenshell 0.8.5 → EC0/EC1/EC2/EC7/EN 1992-3/IAP-11 → modelo único `calc_v3_placa_consistente.py` (placa 2D + muelle rotacional = rigidez muro), pórtico cerrado auxiliar `calc_v2_porticocerrado.py` → QA independiente (Rev.01 ROJO corregida; re-QA Rev.02 pendiente). Golden: G-DEP-01..04 + G-DEP-05 (cubierta como placa 2D con rigidez de muro).</w:t>
      </w:r>
    </w:p>
    <w:p>
      <w:pPr>
        <w:pStyle w:val="Heading1"/>
      </w:pPr>
      <w:r>
        <w:t>Firma</w:t>
      </w:r>
    </w:p>
    <w:p>
      <w:r>
        <w:t>El técnico competente abajo firmante asume la autoría y responsabilidad del presente cálculo tras su revisión. La asistencia de cálculo y la QA no sustituyen la firma profesional.</w:t>
      </w:r>
    </w:p>
    <w:tbl>
      <w:tblPr>
        <w:tblW w:type="auto" w:w="0"/>
        <w:jc w:val="center"/>
        <w:tblLook w:firstColumn="1" w:firstRow="1" w:lastColumn="0" w:lastRow="0" w:noHBand="0" w:noVBand="1" w:val="04A0"/>
        <w:tblBorders>
          <w:top w:val="single" w:sz="4" w:space="0" w:color="BFBFBF"/>
          <w:bottom w:val="single" w:sz="4" w:space="0" w:color="BFBFBF"/>
          <w:insideH w:val="single" w:sz="4" w:space="0" w:color="BFBFBF"/>
          <w:left w:val="nil" w:sz="0" w:space="0" w:color="auto"/>
          <w:right w:val="nil" w:sz="0" w:space="0" w:color="auto"/>
          <w:insideV w:val="nil" w:sz="0" w:space="0" w:color="auto"/>
        </w:tblBorders>
      </w:tblPr>
      <w:tblGrid>
        <w:gridCol w:w="2268"/>
        <w:gridCol w:w="2268"/>
        <w:gridCol w:w="2268"/>
        <w:gridCol w:w="2268"/>
      </w:tblGrid>
      <w:tr>
        <w:trPr>
          <w:tblHeader w:val="true"/>
          <w:cantSplit w:val="true"/>
        </w:trPr>
        <w:tc>
          <w:tcPr>
            <w:tcW w:type="dxa" w:w="2268"/>
            <w:tcBorders>
              <w:left w:val="single" w:sz="4" w:space="0" w:color="9CB7D4"/>
              <w:right w:val="single" w:sz="4" w:space="0" w:color="9CB7D4"/>
            </w:tcBorders>
            <w:shd w:val="clear" w:fill="D9E2F3"/>
          </w:tcPr>
          <w:p>
            <w:r>
              <w:rPr>
                <w:rFonts w:ascii="Arial" w:hAnsi="Arial"/>
                <w:b/>
                <w:sz w:val="19"/>
              </w:rPr>
              <w:t>Función</w:t>
            </w:r>
          </w:p>
        </w:tc>
        <w:tc>
          <w:tcPr>
            <w:tcW w:type="dxa" w:w="2268"/>
            <w:tcBorders>
              <w:left w:val="single" w:sz="4" w:space="0" w:color="9CB7D4"/>
              <w:right w:val="single" w:sz="4" w:space="0" w:color="9CB7D4"/>
            </w:tcBorders>
            <w:shd w:val="clear" w:fill="D9E2F3"/>
          </w:tcPr>
          <w:p>
            <w:r>
              <w:rPr>
                <w:rFonts w:ascii="Arial" w:hAnsi="Arial"/>
                <w:b/>
                <w:sz w:val="19"/>
              </w:rPr>
              <w:t>Nombre</w:t>
            </w:r>
          </w:p>
        </w:tc>
        <w:tc>
          <w:tcPr>
            <w:tcW w:type="dxa" w:w="2268"/>
            <w:tcBorders>
              <w:left w:val="single" w:sz="4" w:space="0" w:color="9CB7D4"/>
              <w:right w:val="single" w:sz="4" w:space="0" w:color="9CB7D4"/>
            </w:tcBorders>
            <w:shd w:val="clear" w:fill="D9E2F3"/>
          </w:tcPr>
          <w:p>
            <w:r>
              <w:rPr>
                <w:rFonts w:ascii="Arial" w:hAnsi="Arial"/>
                <w:b/>
                <w:sz w:val="19"/>
              </w:rPr>
              <w:t>Colegiado</w:t>
            </w:r>
          </w:p>
        </w:tc>
        <w:tc>
          <w:tcPr>
            <w:tcW w:type="dxa" w:w="2268"/>
            <w:tcBorders>
              <w:left w:val="single" w:sz="4" w:space="0" w:color="9CB7D4"/>
              <w:right w:val="single" w:sz="4" w:space="0" w:color="9CB7D4"/>
            </w:tcBorders>
            <w:shd w:val="clear" w:fill="D9E2F3"/>
          </w:tcPr>
          <w:p>
            <w:r>
              <w:rPr>
                <w:rFonts w:ascii="Arial" w:hAnsi="Arial"/>
                <w:b/>
                <w:sz w:val="19"/>
              </w:rPr>
              <w:t>Fecha / Firma</w:t>
            </w:r>
          </w:p>
        </w:tc>
      </w:tr>
      <w:tr>
        <w:tc>
          <w:tcPr>
            <w:tcW w:type="dxa" w:w="2268"/>
          </w:tcPr>
          <w:p>
            <w:r>
              <w:rPr>
                <w:rFonts w:ascii="Arial" w:hAnsi="Arial"/>
                <w:b w:val="0"/>
                <w:sz w:val="19"/>
              </w:rPr>
              <w:t>Autor y firmante (ICCP)</w:t>
            </w:r>
          </w:p>
        </w:tc>
        <w:tc>
          <w:tcPr>
            <w:tcW w:type="dxa" w:w="2268"/>
          </w:tcPr>
          <w:p>
            <w:r>
              <w:rPr>
                <w:rFonts w:ascii="Arial" w:hAnsi="Arial"/>
                <w:b w:val="0"/>
                <w:sz w:val="19"/>
              </w:rPr>
              <w:t>JM</w:t>
            </w:r>
          </w:p>
        </w:tc>
        <w:tc>
          <w:tcPr>
            <w:tcW w:type="dxa" w:w="2268"/>
          </w:tcPr>
          <w:p>
            <w:r>
              <w:rPr>
                <w:rFonts w:ascii="Arial" w:hAnsi="Arial"/>
                <w:b w:val="0"/>
                <w:sz w:val="19"/>
              </w:rPr>
              <w:t>Col. [____]</w:t>
            </w:r>
          </w:p>
        </w:tc>
        <w:tc>
          <w:tcPr>
            <w:tcW w:type="dxa" w:w="2268"/>
          </w:tcPr>
          <w:p>
            <w:r>
              <w:rPr>
                <w:rFonts w:ascii="Arial" w:hAnsi="Arial"/>
                <w:b w:val="0"/>
                <w:sz w:val="19"/>
              </w:rPr>
              <w:t>____ / ________________</w:t>
            </w:r>
          </w:p>
        </w:tc>
      </w:tr>
    </w:tbl>
    <w:p>
      <w:pPr>
        <w:jc w:val="left"/>
      </w:pPr>
      <w:r>
        <w:rPr>
          <w:i/>
          <w:color w:val="595959"/>
          <w:sz w:val="19"/>
        </w:rPr>
        <w:t>Certificación: golden verde + informe de QA limpio + esta firma (dos llaves).</w:t>
      </w:r>
    </w:p>
    <w:p/>
    <w:p>
      <w:pPr>
        <w:pBdr>
          <w:bottom w:val="single" w:sz="8" w:space="4" w:color="B00000"/>
        </w:pBdr>
      </w:pPr>
      <w:r>
        <w:rPr>
          <w:i/>
          <w:color w:val="B00000"/>
          <w:sz w:val="19"/>
        </w:rPr>
        <w:t>Predimensionado sujeto a revisión y firma. Rev. 02: unión rígida, modelo único consistente (corrige el ROJO de QA). Trazabilidad: calc_v3_*.py e informes de QA.</w:t>
      </w:r>
    </w:p>
    <w:sectPr w:rsidR="00FC693F" w:rsidRPr="0006063C" w:rsidSect="00034616">
      <w:headerReference w:type="default" r:id="rId12"/>
      <w:footerReference w:type="default" r:id="rId13"/>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color w:val="595959"/>
        <w:sz w:val="17"/>
      </w:rPr>
      <w:t>JM · ICCP . Predimensionado</w:t>
      <w:tab/>
    </w:r>
    <w:r>
      <w:rPr>
        <w:color w:val="595959"/>
        <w:sz w:val="17"/>
      </w:rPr>
      <w:t xml:space="preserve">Pag. </w:t>
    </w:r>
    <w:r>
      <w:fldChar w:fldCharType="begin"/>
      <w:instrText xml:space="preserve">PAGE</w:instrText>
      <w:fldChar w:fldCharType="separate"/>
      <w:t>-</w:t>
      <w:fldChar w:fldCharType="end"/>
    </w:r>
    <w:r>
      <w:rPr>
        <w:color w:val="595959"/>
        <w:sz w:val="17"/>
      </w:rPr>
      <w:t xml:space="preserve"> de </w:t>
    </w:r>
    <w:r>
      <w:fldChar w:fldCharType="begin"/>
      <w:instrText xml:space="preserve">NUMPAGES</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1F4E79"/>
      </w:pBdr>
    </w:pPr>
    <w:r/>
    <w:r>
      <w:rPr>
        <w:color w:val="595959"/>
        <w:sz w:val="17"/>
      </w:rPr>
      <w:t>Depósito enterrado Decopak · Estructuras — Memoria (Rev.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