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3e663879bace774681101a83fcc2c7f056e10a1"/>
      <w:r>
        <w:t xml:space="preserve">Memoria de instalaciones — Caso REBT-02: instalación eléctrica terciaria/industrial</w:t>
      </w:r>
      <w:bookmarkEnd w:id="20"/>
    </w:p>
    <w:p>
      <w:pPr>
        <w:pStyle w:val="BlockText"/>
      </w:pPr>
      <w:r>
        <w:t xml:space="preserve">Predimensionado/asistencia.</w:t>
      </w:r>
      <w:r>
        <w:t xml:space="preserve"> </w:t>
      </w:r>
      <w:r>
        <w:rPr>
          <w:b/>
        </w:rPr>
        <w:t xml:space="preserve">Debe ser revisado y firmado por técnico competente</w:t>
      </w:r>
      <w:r>
        <w:rPr>
          <w:b/>
        </w:rPr>
        <w:t xml:space="preserve"> </w:t>
      </w:r>
      <w:r>
        <w:rPr>
          <w:b/>
        </w:rPr>
        <w:t xml:space="preserve">(Ingeniero de Caminos).</w:t>
      </w:r>
      <w:r>
        <w:t xml:space="preserve"> </w:t>
      </w:r>
      <w:r>
        <w:t xml:space="preserve">Los valores no determinados (NDP) se marcan</w:t>
      </w:r>
      <w:r>
        <w:t xml:space="preserve"> </w:t>
      </w:r>
      <w:r>
        <w:rPr>
          <w:rStyle w:val="VerbatimChar"/>
        </w:rPr>
        <w:t xml:space="preserve">[confirmar AN]</w:t>
      </w:r>
      <w:r>
        <w:t xml:space="preserve">.</w:t>
      </w:r>
      <w:r>
        <w:t xml:space="preserve"> </w:t>
      </w:r>
      <w:r>
        <w:t xml:space="preserve">Disciplina</w:t>
      </w:r>
      <w:r>
        <w:t xml:space="preserve"> </w:t>
      </w:r>
      <w:r>
        <w:rPr>
          <w:rStyle w:val="VerbatimChar"/>
        </w:rPr>
        <w:t xml:space="preserve">instalaciones</w:t>
      </w:r>
      <w:r>
        <w:t xml:space="preserve">, vertical eléctrico (REBT), PT 4.5 (Ola 4).</w:t>
      </w:r>
    </w:p>
    <w:p>
      <w:pPr>
        <w:pStyle w:val="Heading2"/>
      </w:pPr>
      <w:bookmarkStart w:id="21" w:name="objeto-y-alcance"/>
      <w:r>
        <w:t xml:space="preserve">1. Objeto y alcance</w:t>
      </w:r>
      <w:bookmarkEnd w:id="21"/>
    </w:p>
    <w:p>
      <w:pPr>
        <w:pStyle w:val="FirstParagraph"/>
      </w:pPr>
      <w:r>
        <w:t xml:space="preserve">Dimensionado y comprobación de una instalación eléctrica de</w:t>
      </w:r>
      <w:r>
        <w:t xml:space="preserve"> </w:t>
      </w:r>
      <w:r>
        <w:rPr>
          <w:b/>
        </w:rPr>
        <w:t xml:space="preserve">local terciario /</w:t>
      </w:r>
      <w:r>
        <w:rPr>
          <w:b/>
        </w:rPr>
        <w:t xml:space="preserve"> </w:t>
      </w:r>
      <w:r>
        <w:rPr>
          <w:b/>
        </w:rPr>
        <w:t xml:space="preserve">industrial</w:t>
      </w:r>
      <w:r>
        <w:t xml:space="preserve"> </w:t>
      </w:r>
      <w:r>
        <w:t xml:space="preserve">con línea general trifásica a un subcuadro y derivaciones a receptores</w:t>
      </w:r>
      <w:r>
        <w:t xml:space="preserve"> </w:t>
      </w:r>
      <w:r>
        <w:t xml:space="preserve">(luminarias, toma de uso general y un motor trifásico), de extremo a extremo: IFC MEP</w:t>
      </w:r>
      <w:r>
        <w:t xml:space="preserve"> </w:t>
      </w:r>
      <w:r>
        <w:t xml:space="preserve">(</w:t>
      </w:r>
      <w:r>
        <w:rPr>
          <w:rStyle w:val="VerbatimChar"/>
        </w:rPr>
        <w:t xml:space="preserve">ELECTRICAL</w:t>
      </w:r>
      <w:r>
        <w:t xml:space="preserve">) → modelo neutro de red → bases de demanda → solver eléctrico →</w:t>
      </w:r>
      <w:r>
        <w:t xml:space="preserve"> </w:t>
      </w:r>
      <w:r>
        <w:t xml:space="preserve">verificación → write-back al IFC. Se comprueban</w:t>
      </w:r>
      <w:r>
        <w:t xml:space="preserve"> </w:t>
      </w:r>
      <w:r>
        <w:rPr>
          <w:b/>
        </w:rPr>
        <w:t xml:space="preserve">caídas de tensión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intensidades</w:t>
      </w:r>
      <w:r>
        <w:rPr>
          <w:b/>
        </w:rPr>
        <w:t xml:space="preserve"> </w:t>
      </w:r>
      <w:r>
        <w:rPr>
          <w:b/>
        </w:rPr>
        <w:t xml:space="preserve">admisibles</w:t>
      </w:r>
      <w:r>
        <w:t xml:space="preserve">.</w:t>
      </w:r>
    </w:p>
    <w:p>
      <w:pPr>
        <w:pStyle w:val="Heading2"/>
      </w:pPr>
      <w:bookmarkStart w:id="22" w:name="normativa-y-referencias"/>
      <w:r>
        <w:t xml:space="preserve">2. Normativa y referencias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REBT</w:t>
      </w:r>
      <w:r>
        <w:t xml:space="preserve"> </w:t>
      </w:r>
      <w:r>
        <w:t xml:space="preserve">(RD 842/2002) y sus ITC.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ITC-BT-10</w:t>
      </w:r>
      <w:r>
        <w:t xml:space="preserve"> </w:t>
      </w:r>
      <w:r>
        <w:t xml:space="preserve">— previsión de cargas.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ITC-BT-44</w:t>
      </w:r>
      <w:r>
        <w:t xml:space="preserve"> </w:t>
      </w:r>
      <w:r>
        <w:t xml:space="preserve">— receptores de alumbrado;</w:t>
      </w:r>
      <w:r>
        <w:t xml:space="preserve"> </w:t>
      </w:r>
      <w:r>
        <w:rPr>
          <w:b/>
        </w:rPr>
        <w:t xml:space="preserve">ITC-BT-47</w:t>
      </w:r>
      <w:r>
        <w:t xml:space="preserve"> </w:t>
      </w:r>
      <w:r>
        <w:t xml:space="preserve">— motores (la línea de un</w:t>
      </w:r>
      <w:r>
        <w:t xml:space="preserve"> </w:t>
      </w:r>
      <w:r>
        <w:t xml:space="preserve">motor se dimensiona al 125 % de su intensidad a plena carga)</w:t>
      </w:r>
      <w:r>
        <w:t xml:space="preserve"> </w:t>
      </w:r>
      <w:r>
        <w:rPr>
          <w:rStyle w:val="VerbatimChar"/>
        </w:rPr>
        <w:t xml:space="preserve">[confirmar AN]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ITC-BT-19</w:t>
      </w:r>
      <w:r>
        <w:t xml:space="preserve"> </w:t>
      </w:r>
      <w:r>
        <w:t xml:space="preserve">— caídas de tensión e intensidades admisibles de los conductores.</w:t>
      </w:r>
    </w:p>
    <w:p>
      <w:pPr>
        <w:pStyle w:val="FirstParagraph"/>
      </w:pPr>
      <w:r>
        <w:t xml:space="preserve">Valores por defecto NDP</w:t>
      </w:r>
      <w:r>
        <w:t xml:space="preserve"> </w:t>
      </w:r>
      <w:r>
        <w:rPr>
          <w:rStyle w:val="VerbatimChar"/>
        </w:rPr>
        <w:t xml:space="preserve">[confirmar AN]</w:t>
      </w:r>
      <w:r>
        <w:t xml:space="preserve">; el dato del proyecto (IFC) prevalece.</w:t>
      </w:r>
    </w:p>
    <w:p>
      <w:pPr>
        <w:pStyle w:val="Heading2"/>
      </w:pPr>
      <w:bookmarkStart w:id="23" w:name="descripción-de-la-red"/>
      <w:r>
        <w:t xml:space="preserve">3. Descripción de la red</w:t>
      </w:r>
      <w:bookmarkEnd w:id="23"/>
    </w:p>
    <w:p>
      <w:pPr>
        <w:pStyle w:val="FirstParagraph"/>
      </w:pPr>
      <w:r>
        <w:t xml:space="preserve">Red</w:t>
      </w:r>
      <w:r>
        <w:t xml:space="preserve"> </w:t>
      </w:r>
      <w:r>
        <w:rPr>
          <w:b/>
        </w:rPr>
        <w:t xml:space="preserve">radial (en árbol)</w:t>
      </w:r>
      <w:r>
        <w:t xml:space="preserve">:</w:t>
      </w:r>
      <w:r>
        <w:t xml:space="preserve"> </w:t>
      </w:r>
      <w:r>
        <w:rPr>
          <w:b/>
        </w:rPr>
        <w:t xml:space="preserve">cuadro general</w:t>
      </w:r>
      <w:r>
        <w:t xml:space="preserve"> </w:t>
      </w:r>
      <w:r>
        <w:t xml:space="preserve">(fuente) →</w:t>
      </w:r>
      <w:r>
        <w:t xml:space="preserve"> </w:t>
      </w:r>
      <w:r>
        <w:rPr>
          <w:b/>
        </w:rPr>
        <w:t xml:space="preserve">línea general</w:t>
      </w:r>
      <w:r>
        <w:t xml:space="preserve"> </w:t>
      </w:r>
      <w:r>
        <w:t xml:space="preserve">(LGA) al</w:t>
      </w:r>
      <w:r>
        <w:t xml:space="preserve"> </w:t>
      </w:r>
      <w:r>
        <w:rPr>
          <w:b/>
        </w:rPr>
        <w:t xml:space="preserve">subcuadro</w:t>
      </w:r>
      <w:r>
        <w:t xml:space="preserve"> </w:t>
      </w:r>
      <w:r>
        <w:t xml:space="preserve">→ cuatro derivaciones. Topología leída del IFC por el parser MEP de</w:t>
      </w:r>
      <w:r>
        <w:t xml:space="preserve"> </w:t>
      </w:r>
      <w:r>
        <w:rPr>
          <w:rStyle w:val="VerbatimChar"/>
        </w:rPr>
        <w:t xml:space="preserve">iso19650-openbim</w:t>
      </w:r>
      <w:r>
        <w:t xml:space="preserve">:</w:t>
      </w:r>
      <w:r>
        <w:t xml:space="preserve"> </w:t>
      </w:r>
      <w:r>
        <w:rPr>
          <w:b/>
        </w:rPr>
        <w:t xml:space="preserve">6 nodos, 5 tramos, 4 terminales, 1 fuente</w:t>
      </w:r>
      <w:r>
        <w:t xml:space="preserve">. Conductores de</w:t>
      </w:r>
      <w:r>
        <w:t xml:space="preserve"> </w:t>
      </w:r>
      <w:r>
        <w:rPr>
          <w:b/>
        </w:rPr>
        <w:t xml:space="preserve">cobre</w:t>
      </w:r>
      <w:r>
        <w:t xml:space="preserve">, aislamiento</w:t>
      </w:r>
      <w:r>
        <w:t xml:space="preserve"> </w:t>
      </w:r>
      <w:r>
        <w:rPr>
          <w:b/>
        </w:rPr>
        <w:t xml:space="preserve">PVC</w:t>
      </w:r>
      <w:r>
        <w:t xml:space="preserve"> </w:t>
      </w:r>
      <w:r>
        <w:rPr>
          <w:rStyle w:val="VerbatimChar"/>
        </w:rPr>
        <w:t xml:space="preserve">[confirmar AN]</w:t>
      </w:r>
      <w:r>
        <w:t xml:space="preserve">, γ = 56 m/Ω·mm² (Cu, 20 °C).</w:t>
      </w:r>
    </w:p>
    <w:p>
      <w:pPr>
        <w:pStyle w:val="BodyText"/>
      </w:pPr>
      <w:r>
        <w:t xml:space="preserve">La línea general y la derivación del motor son</w:t>
      </w:r>
      <w:r>
        <w:t xml:space="preserve"> </w:t>
      </w:r>
      <w:r>
        <w:rPr>
          <w:b/>
        </w:rPr>
        <w:t xml:space="preserve">trifásicas (400 V)</w:t>
      </w:r>
      <w:r>
        <w:t xml:space="preserve">; las derivaciones</w:t>
      </w:r>
      <w:r>
        <w:t xml:space="preserve"> </w:t>
      </w:r>
      <w:r>
        <w:t xml:space="preserve">de alumbrado y toma,</w:t>
      </w:r>
      <w:r>
        <w:t xml:space="preserve"> </w:t>
      </w:r>
      <w:r>
        <w:rPr>
          <w:b/>
        </w:rPr>
        <w:t xml:space="preserve">monofásicas (230 V)</w:t>
      </w:r>
      <w:r>
        <w:t xml:space="preserve">. La línea general, al alimentar cargas</w:t>
      </w:r>
      <w:r>
        <w:t xml:space="preserve"> </w:t>
      </w:r>
      <w:r>
        <w:t xml:space="preserve">trifásicas y monofásicas, se resuelve como</w:t>
      </w:r>
      <w:r>
        <w:t xml:space="preserve"> </w:t>
      </w:r>
      <w:r>
        <w:rPr>
          <w:b/>
        </w:rPr>
        <w:t xml:space="preserve">trifásica equilibrada</w:t>
      </w:r>
      <w:r>
        <w:t xml:space="preserve"> </w:t>
      </w:r>
      <w:r>
        <w:t xml:space="preserve">(aproximación de</w:t>
      </w:r>
      <w:r>
        <w:t xml:space="preserve"> </w:t>
      </w:r>
      <w:r>
        <w:t xml:space="preserve">predimensionado</w:t>
      </w:r>
      <w:r>
        <w:t xml:space="preserve"> </w:t>
      </w:r>
      <w:r>
        <w:rPr>
          <w:rStyle w:val="VerbatimChar"/>
        </w:rPr>
        <w:t xml:space="preserve">[confirmar AN]</w:t>
      </w:r>
      <w:r>
        <w:t xml:space="preserve">).</w:t>
      </w:r>
    </w:p>
    <w:p>
      <w:pPr>
        <w:pStyle w:val="Heading2"/>
      </w:pPr>
      <w:bookmarkStart w:id="24" w:name="bases-de-demanda-slot-c4"/>
      <w:r>
        <w:t xml:space="preserve">4. Bases de demanda (slot C4)</w:t>
      </w:r>
      <w:bookmarkEnd w:id="24"/>
    </w:p>
    <w:p>
      <w:pPr>
        <w:pStyle w:val="FirstParagraph"/>
      </w:pPr>
      <w:r>
        <w:t xml:space="preserve">Modo</w:t>
      </w:r>
      <w:r>
        <w:t xml:space="preserve"> </w:t>
      </w:r>
      <w:r>
        <w:rPr>
          <w:b/>
        </w:rPr>
        <w:t xml:space="preserve">receptores</w:t>
      </w:r>
      <w:r>
        <w:t xml:space="preserve"> </w:t>
      </w:r>
      <w:r>
        <w:t xml:space="preserve">(catálogo por tipo).</w:t>
      </w:r>
      <w:r>
        <w:t xml:space="preserve"> </w:t>
      </w:r>
      <w:r>
        <w:rPr>
          <w:b/>
        </w:rPr>
        <w:t xml:space="preserve">Potencia prevista total: 11 296 W.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 (W)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 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LUM-1</w:t>
            </w:r>
          </w:p>
        </w:tc>
        <w:tc>
          <w:p>
            <w:pPr>
              <w:pStyle w:val="Compact"/>
              <w:jc w:val="left"/>
            </w:pPr>
            <w:r>
              <w:t xml:space="preserve">luminaria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58,0</w:t>
            </w:r>
          </w:p>
        </w:tc>
        <w:tc>
          <w:p>
            <w:pPr>
              <w:pStyle w:val="Compact"/>
              <w:jc w:val="left"/>
            </w:pPr>
            <w:r>
              <w:t xml:space="preserve">0,90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LUM-2</w:t>
            </w:r>
          </w:p>
        </w:tc>
        <w:tc>
          <w:p>
            <w:pPr>
              <w:pStyle w:val="Compact"/>
              <w:jc w:val="left"/>
            </w:pPr>
            <w:r>
              <w:t xml:space="preserve">luminaria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58,0</w:t>
            </w:r>
          </w:p>
        </w:tc>
        <w:tc>
          <w:p>
            <w:pPr>
              <w:pStyle w:val="Compact"/>
              <w:jc w:val="left"/>
            </w:pPr>
            <w:r>
              <w:t xml:space="preserve">0,90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TOMA-1</w:t>
            </w:r>
          </w:p>
        </w:tc>
        <w:tc>
          <w:p>
            <w:pPr>
              <w:pStyle w:val="Compact"/>
              <w:jc w:val="left"/>
            </w:pPr>
            <w:r>
              <w:t xml:space="preserve">toma uso general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3 680,0</w:t>
            </w:r>
          </w:p>
        </w:tc>
        <w:tc>
          <w:p>
            <w:pPr>
              <w:pStyle w:val="Compact"/>
              <w:jc w:val="left"/>
            </w:pPr>
            <w:r>
              <w:t xml:space="preserve">0,95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MOTOR-1</w:t>
            </w:r>
          </w:p>
        </w:tc>
        <w:tc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p>
            <w:pPr>
              <w:pStyle w:val="Compact"/>
              <w:jc w:val="left"/>
            </w:pPr>
            <w:r>
              <w:t xml:space="preserve">tri</w:t>
            </w:r>
          </w:p>
        </w:tc>
        <w:tc>
          <w:p>
            <w:pPr>
              <w:pStyle w:val="Compact"/>
              <w:jc w:val="left"/>
            </w:pPr>
            <w:r>
              <w:t xml:space="preserve">7 500,0</w:t>
            </w:r>
          </w:p>
        </w:tc>
        <w:tc>
          <w:p>
            <w:pPr>
              <w:pStyle w:val="Compact"/>
              <w:jc w:val="left"/>
            </w:pPr>
            <w:r>
              <w:t xml:space="preserve">0,85</w:t>
            </w:r>
          </w:p>
        </w:tc>
      </w:tr>
    </w:tbl>
    <w:p>
      <w:pPr>
        <w:pStyle w:val="Heading2"/>
      </w:pPr>
      <w:bookmarkStart w:id="25" w:name="método-de-cálculo"/>
      <w:r>
        <w:t xml:space="preserve">5. Método de cálculo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Intensidad por tramo:</w:t>
      </w:r>
      <w:r>
        <w:t xml:space="preserve"> </w:t>
      </w:r>
      <w:r>
        <w:t xml:space="preserve">I = P / (U · cos φ) (mono) ; I = P / (√3 · U · cos φ) (tri).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Propuesta de sección:</w:t>
      </w:r>
      <w:r>
        <w:t xml:space="preserve"> </w:t>
      </w:r>
      <w:r>
        <w:t xml:space="preserve">momentos sobre catálogo normalizado, limitada por la</w:t>
      </w:r>
      <w:r>
        <w:t xml:space="preserve"> </w:t>
      </w:r>
      <w:r>
        <w:rPr>
          <w:b/>
        </w:rPr>
        <w:t xml:space="preserve">intensidad admisible</w:t>
      </w:r>
      <w:r>
        <w:t xml:space="preserve"> </w:t>
      </w:r>
      <w:r>
        <w:t xml:space="preserve">(ITC-BT-19, Cu, PVC, 2 cond. mono / 3 cond. tri).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Caída de tensión (vinculante):</w:t>
      </w:r>
      <w:r>
        <w:t xml:space="preserve"> </w:t>
      </w:r>
      <w:r>
        <w:t xml:space="preserve">método de las intensidades, ΔU = 2·L·I·cos φ/(γ·S)</w:t>
      </w:r>
      <w:r>
        <w:t xml:space="preserve"> </w:t>
      </w:r>
      <w:r>
        <w:t xml:space="preserve">(mono) ; ΔU = √3·L·I·cos φ/(γ·S) (tri),</w:t>
      </w:r>
      <w:r>
        <w:t xml:space="preserve"> </w:t>
      </w:r>
      <w:r>
        <w:rPr>
          <w:b/>
        </w:rPr>
        <w:t xml:space="preserve">acumulada</w:t>
      </w:r>
      <w:r>
        <w:t xml:space="preserve"> </w:t>
      </w:r>
      <w:r>
        <w:t xml:space="preserve">desde el cuadro; redimensionado</w:t>
      </w:r>
      <w:r>
        <w:t xml:space="preserve"> </w:t>
      </w:r>
      <w:r>
        <w:t xml:space="preserve">automático si supera el límite (</w:t>
      </w:r>
      <w:r>
        <w:rPr>
          <w:b/>
        </w:rPr>
        <w:t xml:space="preserve">3 % alumbrado / 5 % fuerza</w:t>
      </w:r>
      <w:r>
        <w:t xml:space="preserve">, ITC-BT-19).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Topología radial:</w:t>
      </w:r>
      <w:r>
        <w:t xml:space="preserve"> </w:t>
      </w:r>
      <w:r>
        <w:t xml:space="preserve">propagación por árbol; sin Hardy-Cross.</w:t>
      </w:r>
    </w:p>
    <w:p>
      <w:pPr>
        <w:pStyle w:val="Heading2"/>
      </w:pPr>
      <w:bookmarkStart w:id="26" w:name="resultados-y-comprobaciones"/>
      <w:r>
        <w:t xml:space="preserve">6. Resultados y comprobaciones</w:t>
      </w:r>
      <w:bookmarkEnd w:id="26"/>
    </w:p>
    <w:p>
      <w:pPr>
        <w:pStyle w:val="FirstParagraph"/>
      </w:pPr>
      <w:r>
        <w:rPr>
          <w:b/>
        </w:rPr>
        <w:t xml:space="preserve">Veredicto: CUMPLE.</w:t>
      </w:r>
      <w:r>
        <w:t xml:space="preserve"> </w:t>
      </w:r>
      <w:r>
        <w:t xml:space="preserve">Balance de potencias</w:t>
      </w:r>
      <w:r>
        <w:t xml:space="preserve"> </w:t>
      </w:r>
      <w:r>
        <w:rPr>
          <w:b/>
        </w:rPr>
        <w:t xml:space="preserve">0,0000 %</w:t>
      </w:r>
      <w:r>
        <w:t xml:space="preserve">. Caída de tensión máxima</w:t>
      </w:r>
      <w:r>
        <w:t xml:space="preserve"> </w:t>
      </w:r>
      <w:r>
        <w:rPr>
          <w:b/>
        </w:rPr>
        <w:t xml:space="preserve">3,318 %</w:t>
      </w:r>
      <w:r>
        <w:t xml:space="preserve"> </w:t>
      </w:r>
      <w:r>
        <w:t xml:space="preserve">(terminal gobernante</w:t>
      </w:r>
      <w:r>
        <w:t xml:space="preserve"> </w:t>
      </w:r>
      <w:r>
        <w:rPr>
          <w:b/>
        </w:rPr>
        <w:t xml:space="preserve">TOMA-1</w:t>
      </w:r>
      <w:r>
        <w:t xml:space="preserve">), por debajo del límite del 5 % (fuerza).</w:t>
      </w:r>
      <w:r>
        <w:t xml:space="preserve"> </w:t>
      </w:r>
      <w:r>
        <w:t xml:space="preserve">Intensidades dentro del admisible en todos los tramos.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 (A)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 (mm²)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 adm. (A)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ΔU tramo (%)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 — LGA (cuadro→subcuadro)</w:t>
            </w:r>
          </w:p>
        </w:tc>
        <w:tc>
          <w:p>
            <w:pPr>
              <w:pStyle w:val="Compact"/>
              <w:jc w:val="left"/>
            </w:pPr>
            <w:r>
              <w:t xml:space="preserve">tri</w:t>
            </w:r>
          </w:p>
        </w:tc>
        <w:tc>
          <w:p>
            <w:pPr>
              <w:pStyle w:val="Compact"/>
              <w:jc w:val="left"/>
            </w:pPr>
            <w:r>
              <w:t xml:space="preserve">18,51</w:t>
            </w:r>
          </w:p>
        </w:tc>
        <w:tc>
          <w:p>
            <w:pPr>
              <w:pStyle w:val="Compact"/>
              <w:jc w:val="left"/>
            </w:pPr>
            <w:r>
              <w:t xml:space="preserve">4,0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0,630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T2 — LUM-1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0,28</w:t>
            </w:r>
          </w:p>
        </w:tc>
        <w:tc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0,041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T3 — LUM-2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0,28</w:t>
            </w:r>
          </w:p>
        </w:tc>
        <w:tc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0,041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T4 — TOMA-1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16,84</w:t>
            </w:r>
          </w:p>
        </w:tc>
        <w:tc>
          <w:p>
            <w:pPr>
              <w:pStyle w:val="Compact"/>
              <w:jc w:val="left"/>
            </w:pPr>
            <w:r>
              <w:t xml:space="preserve">2,5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2,222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T5 — MOTOR-1</w:t>
            </w:r>
          </w:p>
        </w:tc>
        <w:tc>
          <w:p>
            <w:pPr>
              <w:pStyle w:val="Compact"/>
              <w:jc w:val="left"/>
            </w:pPr>
            <w:r>
              <w:t xml:space="preserve">tri</w:t>
            </w:r>
          </w:p>
        </w:tc>
        <w:tc>
          <w:p>
            <w:pPr>
              <w:pStyle w:val="Compact"/>
              <w:jc w:val="left"/>
            </w:pPr>
            <w:r>
              <w:t xml:space="preserve">12,74</w:t>
            </w:r>
          </w:p>
        </w:tc>
        <w:tc>
          <w:p>
            <w:pPr>
              <w:pStyle w:val="Compact"/>
              <w:jc w:val="left"/>
            </w:pPr>
            <w:r>
              <w:t xml:space="preserve">1,5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1,308</w:t>
            </w:r>
          </w:p>
        </w:tc>
        <w:tc>
          <w:p/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 (W)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ΔU acum.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Límite (%)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LUM-1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58,0</w:t>
            </w:r>
          </w:p>
        </w:tc>
        <w:tc>
          <w:p>
            <w:pPr>
              <w:pStyle w:val="Compact"/>
              <w:jc w:val="left"/>
            </w:pPr>
            <w:r>
              <w:t xml:space="preserve">1,137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LUM-2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58,0</w:t>
            </w:r>
          </w:p>
        </w:tc>
        <w:tc>
          <w:p>
            <w:pPr>
              <w:pStyle w:val="Compact"/>
              <w:jc w:val="left"/>
            </w:pPr>
            <w:r>
              <w:t xml:space="preserve">1,137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TOMA-1</w:t>
            </w:r>
          </w:p>
        </w:tc>
        <w:tc>
          <w:p>
            <w:pPr>
              <w:pStyle w:val="Compact"/>
              <w:jc w:val="left"/>
            </w:pPr>
            <w:r>
              <w:t xml:space="preserve">mono</w:t>
            </w:r>
          </w:p>
        </w:tc>
        <w:tc>
          <w:p>
            <w:pPr>
              <w:pStyle w:val="Compact"/>
              <w:jc w:val="left"/>
            </w:pPr>
            <w:r>
              <w:t xml:space="preserve">3 680,0</w:t>
            </w:r>
          </w:p>
        </w:tc>
        <w:tc>
          <w:p>
            <w:pPr>
              <w:pStyle w:val="Compact"/>
              <w:jc w:val="left"/>
            </w:pPr>
            <w:r>
              <w:t xml:space="preserve">3,318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MOTOR-1</w:t>
            </w:r>
          </w:p>
        </w:tc>
        <w:tc>
          <w:p>
            <w:pPr>
              <w:pStyle w:val="Compact"/>
              <w:jc w:val="left"/>
            </w:pPr>
            <w:r>
              <w:t xml:space="preserve">tri</w:t>
            </w:r>
          </w:p>
        </w:tc>
        <w:tc>
          <w:p>
            <w:pPr>
              <w:pStyle w:val="Compact"/>
              <w:jc w:val="left"/>
            </w:pPr>
            <w:r>
              <w:t xml:space="preserve">7 500,0</w:t>
            </w:r>
          </w:p>
        </w:tc>
        <w:tc>
          <w:p>
            <w:pPr>
              <w:pStyle w:val="Compact"/>
              <w:jc w:val="left"/>
            </w:pPr>
            <w:r>
              <w:t xml:space="preserve">1,938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✔</w:t>
            </w:r>
          </w:p>
        </w:tc>
      </w:tr>
    </w:tbl>
    <w:p>
      <w:pPr>
        <w:pStyle w:val="BodyText"/>
      </w:pPr>
      <w:r>
        <w:rPr>
          <w:b/>
        </w:rPr>
        <w:t xml:space="preserve">Write-back al IFC:</w:t>
      </w:r>
      <w:r>
        <w:t xml:space="preserve"> </w:t>
      </w:r>
      <w:r>
        <w:t xml:space="preserve">Psets</w:t>
      </w:r>
      <w:r>
        <w:t xml:space="preserve"> </w:t>
      </w:r>
      <w:r>
        <w:rPr>
          <w:rStyle w:val="VerbatimChar"/>
        </w:rPr>
        <w:t xml:space="preserve">Pset_Estructurando_ResultadoRed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9 elementos, 51</w:t>
      </w:r>
      <w:r>
        <w:rPr>
          <w:b/>
        </w:rPr>
        <w:t xml:space="preserve"> </w:t>
      </w:r>
      <w:r>
        <w:rPr>
          <w:b/>
        </w:rPr>
        <w:t xml:space="preserve">propiedades</w:t>
      </w:r>
      <w:r>
        <w:t xml:space="preserve">. Validación con</w:t>
      </w:r>
      <w:r>
        <w:t xml:space="preserve"> </w:t>
      </w:r>
      <w:r>
        <w:rPr>
          <w:rStyle w:val="VerbatimChar"/>
        </w:rPr>
        <w:t xml:space="preserve">iso19650-openbim:ifc-validate</w:t>
      </w:r>
      <w:r>
        <w:t xml:space="preserve">:</w:t>
      </w:r>
      <w:r>
        <w:t xml:space="preserve"> </w:t>
      </w:r>
      <w:r>
        <w:rPr>
          <w:b/>
        </w:rPr>
        <w:t xml:space="preserve">APTO</w:t>
      </w:r>
      <w:r>
        <w:t xml:space="preserve"> </w:t>
      </w:r>
      <w:r>
        <w:t xml:space="preserve">(continuidad</w:t>
      </w:r>
      <w:r>
        <w:t xml:space="preserve"> </w:t>
      </w:r>
      <w:r>
        <w:t xml:space="preserve">100 %, 0 incidencias).</w:t>
      </w:r>
    </w:p>
    <w:p>
      <w:pPr>
        <w:pStyle w:val="Heading2"/>
      </w:pPr>
      <w:bookmarkStart w:id="27" w:name="conclusiones-y-observaciones"/>
      <w:r>
        <w:t xml:space="preserve">7. Conclusiones y observaciones</w:t>
      </w:r>
      <w:bookmarkEnd w:id="27"/>
    </w:p>
    <w:p>
      <w:pPr>
        <w:pStyle w:val="FirstParagraph"/>
      </w:pPr>
      <w:r>
        <w:t xml:space="preserve">La red cumple las caídas de tensión y las intensidades admisibles con las secciones</w:t>
      </w:r>
      <w:r>
        <w:t xml:space="preserve"> </w:t>
      </w:r>
      <w:r>
        <w:t xml:space="preserve">propuestas. El gobernante es la toma de uso general (TOMA-1), por ser una carga</w:t>
      </w:r>
      <w:r>
        <w:t xml:space="preserve"> </w:t>
      </w:r>
      <w:r>
        <w:t xml:space="preserve">monofásica relativamente alta en una derivación larga. La sección del motor (1,5 mm²)</w:t>
      </w:r>
      <w:r>
        <w:t xml:space="preserve"> </w:t>
      </w:r>
      <w:r>
        <w:t xml:space="preserve">quedaría sujeta a confirmar el criterio del 125 % de ITC-BT-47 y la coordinación con</w:t>
      </w:r>
      <w:r>
        <w:t xml:space="preserve"> </w:t>
      </w:r>
      <w:r>
        <w:t xml:space="preserve">las protecciones</w:t>
      </w:r>
      <w:r>
        <w:t xml:space="preserve"> </w:t>
      </w:r>
      <w:r>
        <w:rPr>
          <w:rStyle w:val="VerbatimChar"/>
        </w:rPr>
        <w:t xml:space="preserve">[confirmar AN]</w:t>
      </w:r>
      <w:r>
        <w:t xml:space="preserve">.</w:t>
      </w:r>
      <w:r>
        <w:t xml:space="preserve"> </w:t>
      </w:r>
      <w:r>
        <w:rPr>
          <w:b/>
        </w:rPr>
        <w:t xml:space="preserve">Predimensionado a revisar y firmar por técnico</w:t>
      </w:r>
      <w:r>
        <w:rPr>
          <w:b/>
        </w:rPr>
        <w:t xml:space="preserve"> </w:t>
      </w:r>
      <w:r>
        <w:rPr>
          <w:b/>
        </w:rPr>
        <w:t xml:space="preserve">competente (Ingeniero de Caminos).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Registro de comprobación — 2026-06-22 · sistema ELECTRICAL (terciario/industrial,</w:t>
      </w:r>
      <w:r>
        <w:rPr>
          <w:i/>
        </w:rPr>
        <w:t xml:space="preserve"> </w:t>
      </w:r>
      <w:r>
        <w:rPr>
          <w:i/>
        </w:rPr>
        <w:t xml:space="preserve">receptores) · solver eléctrico radial (intensidades + momentos) · γ=56, PVC, 230/400 V ·</w:t>
      </w:r>
      <w:r>
        <w:rPr>
          <w:i/>
        </w:rPr>
        <w:t xml:space="preserve"> </w:t>
      </w:r>
      <w:r>
        <w:rPr>
          <w:i/>
        </w:rPr>
        <w:t xml:space="preserve">resultado CUMPLE (balance 0,0 %, ΔU máx 3,318 %) · Psets de resultado al IFC (APTO).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2026-06-22T13:33:52Z</dcterms:created>
  <dcterms:modified xsi:type="dcterms:W3CDTF">2026-06-22T13:33:52Z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