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qa64iqm5lc6j" w:id="0"/>
      <w:bookmarkEnd w:id="0"/>
      <w:r w:rsidDel="00000000" w:rsidR="00000000" w:rsidRPr="00000000">
        <w:rPr>
          <w:rtl w:val="0"/>
        </w:rPr>
        <w:t xml:space="preserve">Windows 2000 Checklist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ANY PATCHES BECOME AVAILABLE INSTALL THEM IMMEDIATELY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DISABLE LMHash:</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Click the start button</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Click “Run”</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Type “regedit” and click OK (this will open the registry editor, be careful in here only change what is mentioned)</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Click the plus arrow to expand the HKEY_LOCAL_MACHINE tree (from now on said as expand [tree name])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Expand the SYSTEM tree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Expand the CurrentControlSet tree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Expand the Control tree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Click the Lsa directory</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Double click nolmhash (Hopefully it is there)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Change the value from “0” to “1”</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2)Check Password Requirements: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Click the start button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Go to programs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Go to administrative tools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Click local security settings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Click account policies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Make sure “Enforce Password History” has 0 passwords remembered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Change minimum password length to not be on (THIS IS EXPLOITABLE IF 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Change passwords must meet complexity requirements (THIS IS EXPLOITABLE IF ENABLED)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Make sure to DISABLE “Store password using reversible encryption for all users in the domain (LEAVE THIS WINDOW OPEN YOU WILL BE RETURNING TO IT AFTER CHANGING YOUR PASSWORD AND HANDLING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Changing Administrator password and handle users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Click start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Go to programs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Go to administrative tools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Click Computer management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Click Local Users and Groups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Double Click Users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Find your administrator account (There should only be 1) </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IF there are OTHER administrator accounts right click THEM</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Click properties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Click the “Member Of” tab</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Click the “Administrators” group</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Click the “Remove” button </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Click the “Apply” button</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Click back to the “General” tab</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Click the “Account is disabled” checkbox</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Repeat for any other administrator accounts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Right click your administrator account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Click “Set Password”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Change the password to your desired password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Go through all other non-admin user accounts and:</w:t>
        <w:br w:type="textWrapping"/>
        <w:tab/>
        <w:t xml:space="preserve">1) Right click the user</w:t>
      </w:r>
    </w:p>
    <w:p w:rsidR="00000000" w:rsidDel="00000000" w:rsidP="00000000" w:rsidRDefault="00000000" w:rsidRPr="00000000">
      <w:pPr>
        <w:contextualSpacing w:val="0"/>
      </w:pPr>
      <w:r w:rsidDel="00000000" w:rsidR="00000000" w:rsidRPr="00000000">
        <w:rPr>
          <w:rtl w:val="0"/>
        </w:rPr>
        <w:tab/>
        <w:tab/>
        <w:t xml:space="preserve">2) Click “Properties”</w:t>
      </w:r>
    </w:p>
    <w:p w:rsidR="00000000" w:rsidDel="00000000" w:rsidP="00000000" w:rsidRDefault="00000000" w:rsidRPr="00000000">
      <w:pPr>
        <w:contextualSpacing w:val="0"/>
      </w:pPr>
      <w:r w:rsidDel="00000000" w:rsidR="00000000" w:rsidRPr="00000000">
        <w:rPr>
          <w:rtl w:val="0"/>
        </w:rPr>
        <w:tab/>
        <w:tab/>
        <w:t xml:space="preserve">3) Click the “Account is disabled” checkbox</w:t>
      </w:r>
    </w:p>
    <w:p w:rsidR="00000000" w:rsidDel="00000000" w:rsidP="00000000" w:rsidRDefault="00000000" w:rsidRPr="00000000">
      <w:pPr>
        <w:contextualSpacing w:val="0"/>
      </w:pPr>
      <w:r w:rsidDel="00000000" w:rsidR="00000000" w:rsidRPr="00000000">
        <w:rPr>
          <w:rtl w:val="0"/>
        </w:rPr>
        <w:tab/>
        <w:tab/>
        <w:t xml:space="preserve">4) Click the “Apply” button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Firewall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start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Go to settings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Go to Control Panel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Right click “Network and Dial-Up Connections”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“Open”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Right click the interface/network you want to secure (this should be all of them one by one)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“Properties”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“Internet Protocol (TCP/IP)”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“Properties”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the “Advanced” button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the “Options” Tab</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“TCP/IP Filtering”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the “Properties” button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the “Enable TCP/IP Filtering (All adapters)” checkbox</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the “Permit Only” radio button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 the desired ports on the desired connection types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Disable Unnecessary Services (UNNECESSARY SERVICES  TO DISABLE GUARANTEED: PRINT SPOOLER)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Click start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Go to “Programs”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Go to “Administrative Tools”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Go to “Services”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Right click the desired Service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Ensure the “Recovery” tab has all failures set to “Take No Action”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Click the “Apply” button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Return to the “General” Tab</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If it its running (it likely will be) click the “Stop” button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Click the “Startup type” drop down box</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Click “Disabled”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Go the “Apply” button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Click the “Log On” tab</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Click the desired Profile (preferably all of them)</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Click the “Disable” button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Uncheck the “Allow service to interact with desktop” checkbox if so desired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Click the “Apply” button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Account Lockout/Audits (IF YOU HAVE TIME):</w:t>
      </w:r>
    </w:p>
    <w:p w:rsidR="00000000" w:rsidDel="00000000" w:rsidP="00000000" w:rsidRDefault="00000000" w:rsidRPr="00000000">
      <w:pPr>
        <w:contextualSpacing w:val="0"/>
      </w:pPr>
      <w:r w:rsidDel="00000000" w:rsidR="00000000" w:rsidRPr="00000000">
        <w:rPr>
          <w:rtl w:val="0"/>
        </w:rPr>
        <w:t xml:space="preserve">     (GO BACK TO THE WINDOW FROM CHECK PASSWORD REQUIREMENTS WINDOW)</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Click “Account Lockout Policy”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Set “Account Lockout Duration” to 1 minute (or whatever advised to)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Set “Account Lockout threshold” to 5</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Set “Reset Account Lockout Counter” after 1 minute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Click “Local Policies”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Click “Audit Policy”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Enable ALL the audits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3">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