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ZKGate India</w:t>
      </w:r>
    </w:p>
    <w:p>
      <w:r>
        <w:rPr>
          <w:i/>
          <w:sz w:val="26"/>
        </w:rPr>
        <w:t>Sovereign Technology for India — Strategy, Competitive Positioning &amp; Build Log</w:t>
      </w:r>
    </w:p>
    <w:p>
      <w:r>
        <w:rPr>
          <w:i w:val="0"/>
        </w:rPr>
        <w:t>One-line pitch: ZKGate replaces manual document verification with a cryptographic proof. Banks, government portals and shops learn only the single fact they are entitled to — never a name, date of birth, address or Aadhaar number.</w:t>
      </w:r>
    </w:p>
    <w:p>
      <w:pPr>
        <w:pStyle w:val="Heading1"/>
      </w:pPr>
      <w:r>
        <w:t>1. Why this problem, why now</w:t>
      </w:r>
    </w:p>
    <w:p>
      <w:r>
        <w:rPr>
          <w:i w:val="0"/>
        </w:rPr>
        <w:t>India runs an enormous volume of manual and semi-manual identity checks every day — age-gating, bank and telecom KYC, welfare eligibility, exchange onboarding. Each one today means handing over a full identity document (physical, scanned, or via an eKYC API) to a counterparty who now has to store and secure data it did not need to see in the first place.</w:t>
      </w:r>
    </w:p>
    <w:p>
      <w:r>
        <w:rPr>
          <w:i w:val="0"/>
        </w:rPr>
        <w:t>Two forces make this the right moment. First, regulation already points this way: Aadhaar eKYC access for private entities has been restricted by the Supreme Court specifically because of over-disclosure and custody risk — a zero-disclosure proof sidesteps the exact objection that produced that restriction. Second, UIDAI itself moved toward offline, non-live-query verification in 2026 with its new Aadhaar app and offline verification framework (3.1 crore app downloads within five months, 144 crore enrolments by March 2026). ZKGate is the cryptographic continuation of a direction the regulator has already started, not a request to change it.</w:t>
      </w:r>
    </w:p>
    <w:p>
      <w:pPr>
        <w:pStyle w:val="Heading1"/>
      </w:pPr>
      <w:r>
        <w:t>2. Self Q&amp;A — interrogating the idea before a judge does</w:t>
      </w:r>
    </w:p>
    <w:p>
      <w:r>
        <w:rPr>
          <w:b/>
        </w:rPr>
        <w:t xml:space="preserve">Q: </w:t>
      </w:r>
      <w:r>
        <w:rPr>
          <w:b/>
          <w:i/>
        </w:rPr>
        <w:t>Isn't this just Anon Aadhaar repackaged for a hackathon?</w:t>
      </w:r>
    </w:p>
    <w:p>
      <w:r>
        <w:rPr>
          <w:b/>
        </w:rPr>
        <w:t xml:space="preserve">A: </w:t>
      </w:r>
      <w:r>
        <w:t>No. Anon Aadhaar (PSE/Ethereum ecosystem) verifies the RSA-SHA256 signature on India's public Aadhaar Secure QR code fully inside the circuit, and is built for Web3 use cases — Sybil-resistant voting at ETHIndia 2024, anonymous UBI airdrops. The public QR carries a thin field set (name, gender, DOB, address, photo hash, pincode). ZKGate targets the offline e-KYC XML used by India's actual regulated AUA/KUA ecosystem (banks, telcos, Common Service Centres), which supports the claims Indian regulation actually needs: a state/district residency ladder, PAN linkage, and compound multi-fact KYC bound to one secret so proofs can't be mixed across people. ZKGate also ships the regulator-facing half that a general Web3 protocol has no reason to build: a verifier registry, a nullifier keyed per verifier (so replay is caught without cross-verifier tracking), and a tamper-evident audit chain a bank can hand to RBI.</w:t>
      </w:r>
    </w:p>
    <w:p>
      <w:r>
        <w:rPr>
          <w:b/>
        </w:rPr>
        <w:t xml:space="preserve">Q: </w:t>
      </w:r>
      <w:r>
        <w:rPr>
          <w:b/>
          <w:i/>
        </w:rPr>
        <w:t>DigiLocker and commercial eKYC APIs already do this digitally — why build something new?</w:t>
      </w:r>
    </w:p>
    <w:p>
      <w:r>
        <w:rPr>
          <w:b/>
        </w:rPr>
        <w:t xml:space="preserve">A: </w:t>
      </w:r>
      <w:r>
        <w:t>They move the disclosure problem, they do not remove it. The verifier still receives and stores the full document; documents are commonly hosted on cloud infrastructure that researchers have flagged for insider-attack and access-control gaps, and DigiLocker's dependence on live Aadhaar authentication has been described as a 'digital Catch-22' — one system's flaws ripple into the other. ZKGate's proof never contains the document. A bank learns 'age &gt;= 18: true' and nothing else, from data that never left the citizen's device.</w:t>
      </w:r>
    </w:p>
    <w:p>
      <w:r>
        <w:rPr>
          <w:b/>
        </w:rPr>
        <w:t xml:space="preserve">Q: </w:t>
      </w:r>
      <w:r>
        <w:rPr>
          <w:b/>
          <w:i/>
        </w:rPr>
        <w:t>Polygon ID / Billions Network is already piloting Aadhaar integration with the Indian government and banks like Deutsche Bank and HSBC. Why build an indigenous stack instead of using that?</w:t>
      </w:r>
    </w:p>
    <w:p>
      <w:r>
        <w:rPr>
          <w:b/>
        </w:rPr>
        <w:t xml:space="preserve">A: </w:t>
      </w:r>
      <w:r>
        <w:t>That is precisely the fit this hackathon track asks for. The problem statement's 'Indigenous Innovation &amp; Technology Sovereignty' dimension exists because routing a strategic national identity layer through a foreign-run, token-incentivized commercial network is itself the dependency 'Sovereign Technology for India' is meant to reduce. ZKGate is chain-free, token-free, and runs its trusted setup and verifier registry as infrastructure the Indian government or an RBI-regulated entity can operate directly.</w:t>
      </w:r>
    </w:p>
    <w:p>
      <w:r>
        <w:rPr>
          <w:b/>
        </w:rPr>
        <w:t xml:space="preserve">Q: </w:t>
      </w:r>
      <w:r>
        <w:rPr>
          <w:b/>
          <w:i/>
        </w:rPr>
        <w:t>Isn't 'zero-knowledge' just cryptographic dressing on a KYC form?</w:t>
      </w:r>
    </w:p>
    <w:p>
      <w:r>
        <w:rPr>
          <w:b/>
        </w:rPr>
        <w:t xml:space="preserve">A: </w:t>
      </w:r>
      <w:r>
        <w:t>Being direct about the one real gap is more convincing than hiding it: every circuit currently takes signature_valid as a private input the citizen's own client asserts, tagged demo everywhere in the API and UI. A malicious citizen could in principle fabricate data and self-assert validity. This is disclosed, not hidden, in the project's own documentation — and closing it was this session's main engineering work (Section 6).</w:t>
      </w:r>
    </w:p>
    <w:p>
      <w:pPr>
        <w:pStyle w:val="Heading1"/>
      </w:pPr>
      <w:r>
        <w:t>3. Competitive landscape</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872"/>
            <w:shd w:val="clear" w:color="auto" w:fill="D9E2F3"/>
          </w:tcPr>
          <w:p>
            <w:r>
              <w:rPr>
                <w:b/>
                <w:sz w:val="19"/>
              </w:rPr>
              <w:t>Solution</w:t>
            </w:r>
          </w:p>
        </w:tc>
        <w:tc>
          <w:tcPr>
            <w:tcW w:type="dxa" w:w="2736"/>
            <w:shd w:val="clear" w:color="auto" w:fill="D9E2F3"/>
          </w:tcPr>
          <w:p>
            <w:r>
              <w:rPr>
                <w:b/>
                <w:sz w:val="19"/>
              </w:rPr>
              <w:t>Approach</w:t>
            </w:r>
          </w:p>
        </w:tc>
        <w:tc>
          <w:tcPr>
            <w:tcW w:type="dxa" w:w="3168"/>
            <w:shd w:val="clear" w:color="auto" w:fill="D9E2F3"/>
          </w:tcPr>
          <w:p>
            <w:r>
              <w:rPr>
                <w:b/>
                <w:sz w:val="19"/>
              </w:rPr>
              <w:t>Core drawback</w:t>
            </w:r>
          </w:p>
        </w:tc>
        <w:tc>
          <w:tcPr>
            <w:tcW w:type="dxa" w:w="3168"/>
            <w:shd w:val="clear" w:color="auto" w:fill="D9E2F3"/>
          </w:tcPr>
          <w:p>
            <w:r>
              <w:rPr>
                <w:b/>
                <w:sz w:val="19"/>
              </w:rPr>
              <w:t>How ZKGate differs</w:t>
            </w:r>
          </w:p>
        </w:tc>
      </w:tr>
      <w:tr>
        <w:tc>
          <w:tcPr>
            <w:tcW w:type="dxa" w:w="1872"/>
          </w:tcPr>
          <w:p>
            <w:r>
              <w:rPr>
                <w:sz w:val="19"/>
              </w:rPr>
              <w:t>Manual / photocopy KYC (status quo)</w:t>
            </w:r>
          </w:p>
        </w:tc>
        <w:tc>
          <w:tcPr>
            <w:tcW w:type="dxa" w:w="2736"/>
          </w:tcPr>
          <w:p>
            <w:r>
              <w:rPr>
                <w:sz w:val="19"/>
              </w:rPr>
              <w:t>Physical or scanned ID handed to a human or a form</w:t>
            </w:r>
          </w:p>
        </w:tc>
        <w:tc>
          <w:tcPr>
            <w:tcW w:type="dxa" w:w="3168"/>
          </w:tcPr>
          <w:p>
            <w:r>
              <w:rPr>
                <w:sz w:val="19"/>
              </w:rPr>
              <w:t>Full data over-disclosure; slow manual review; forgeable copies; no audit trail</w:t>
            </w:r>
          </w:p>
        </w:tc>
        <w:tc>
          <w:tcPr>
            <w:tcW w:type="dxa" w:w="3168"/>
          </w:tcPr>
          <w:p>
            <w:r>
              <w:rPr>
                <w:sz w:val="19"/>
              </w:rPr>
              <w:t>Sub-second cryptographic check replaces human judgement; proof carries no personal data to forge</w:t>
            </w:r>
          </w:p>
        </w:tc>
      </w:tr>
      <w:tr>
        <w:tc>
          <w:tcPr>
            <w:tcW w:type="dxa" w:w="1872"/>
          </w:tcPr>
          <w:p>
            <w:r>
              <w:rPr>
                <w:sz w:val="19"/>
              </w:rPr>
              <w:t>DigiLocker / commercial eKYC APIs</w:t>
            </w:r>
          </w:p>
        </w:tc>
        <w:tc>
          <w:tcPr>
            <w:tcW w:type="dxa" w:w="2736"/>
          </w:tcPr>
          <w:p>
            <w:r>
              <w:rPr>
                <w:sz w:val="19"/>
              </w:rPr>
              <w:t>Verifier queries or receives full Aadhaar data via API or XML</w:t>
            </w:r>
          </w:p>
        </w:tc>
        <w:tc>
          <w:tcPr>
            <w:tcW w:type="dxa" w:w="3168"/>
          </w:tcPr>
          <w:p>
            <w:r>
              <w:rPr>
                <w:sz w:val="19"/>
              </w:rPr>
              <w:t>Verifier sees and stores full data; cloud custody risk; Supreme-Court-restricted for private use; tied to live Aadhaar backend</w:t>
            </w:r>
          </w:p>
        </w:tc>
        <w:tc>
          <w:tcPr>
            <w:tcW w:type="dxa" w:w="3168"/>
          </w:tcPr>
          <w:p>
            <w:r>
              <w:rPr>
                <w:sz w:val="19"/>
              </w:rPr>
              <w:t>Zero data crosses the wire; works from an already-downloaded offline XML with no live UIDAI query</w:t>
            </w:r>
          </w:p>
        </w:tc>
      </w:tr>
      <w:tr>
        <w:tc>
          <w:tcPr>
            <w:tcW w:type="dxa" w:w="1872"/>
          </w:tcPr>
          <w:p>
            <w:r>
              <w:rPr>
                <w:sz w:val="19"/>
              </w:rPr>
              <w:t>Anon Aadhaar (PSE / Ethereum)</w:t>
            </w:r>
          </w:p>
        </w:tc>
        <w:tc>
          <w:tcPr>
            <w:tcW w:type="dxa" w:w="2736"/>
          </w:tcPr>
          <w:p>
            <w:r>
              <w:rPr>
                <w:sz w:val="19"/>
              </w:rPr>
              <w:t>In-circuit RSA-SHA256 verification over the public Secure QR code</w:t>
            </w:r>
          </w:p>
        </w:tc>
        <w:tc>
          <w:tcPr>
            <w:tcW w:type="dxa" w:w="3168"/>
          </w:tcPr>
          <w:p>
            <w:r>
              <w:rPr>
                <w:sz w:val="19"/>
              </w:rPr>
              <w:t>Built for Web3 use cases, not India's regulated AUA/KUA + PAN + multi-agency claims; no verifier registry, audit chain, or per-verifier replay guard; heavier in-circuit RSA proving</w:t>
            </w:r>
          </w:p>
        </w:tc>
        <w:tc>
          <w:tcPr>
            <w:tcW w:type="dxa" w:w="3168"/>
          </w:tcPr>
          <w:p>
            <w:r>
              <w:rPr>
                <w:sz w:val="19"/>
              </w:rPr>
              <w:t>India-specific claim catalogue (age, location, PAN, compound KYC), verifier-scoped nullifiers, regulator-facing audit chain, lighter issuer-credential proving path</w:t>
            </w:r>
          </w:p>
        </w:tc>
      </w:tr>
      <w:tr>
        <w:tc>
          <w:tcPr>
            <w:tcW w:type="dxa" w:w="1872"/>
          </w:tcPr>
          <w:p>
            <w:r>
              <w:rPr>
                <w:sz w:val="19"/>
              </w:rPr>
              <w:t>Polygon ID / Billions Network</w:t>
            </w:r>
          </w:p>
        </w:tc>
        <w:tc>
          <w:tcPr>
            <w:tcW w:type="dxa" w:w="2736"/>
          </w:tcPr>
          <w:p>
            <w:r>
              <w:rPr>
                <w:sz w:val="19"/>
              </w:rPr>
              <w:t>ZK identity on a commercial blockchain network; piloting Aadhaar integration</w:t>
            </w:r>
          </w:p>
        </w:tc>
        <w:tc>
          <w:tcPr>
            <w:tcW w:type="dxa" w:w="3168"/>
          </w:tcPr>
          <w:p>
            <w:r>
              <w:rPr>
                <w:sz w:val="19"/>
              </w:rPr>
              <w:t>Foreign-run commercial network; token/chain dependency for a strategic identity layer</w:t>
            </w:r>
          </w:p>
        </w:tc>
        <w:tc>
          <w:tcPr>
            <w:tcW w:type="dxa" w:w="3168"/>
          </w:tcPr>
          <w:p>
            <w:r>
              <w:rPr>
                <w:sz w:val="19"/>
              </w:rPr>
              <w:t>Indigenous, chain-free, government-operable — directly on-thesis for technology sovereignty</w:t>
            </w:r>
          </w:p>
        </w:tc>
      </w:tr>
      <w:tr>
        <w:tc>
          <w:tcPr>
            <w:tcW w:type="dxa" w:w="1872"/>
          </w:tcPr>
          <w:p>
            <w:r>
              <w:rPr>
                <w:sz w:val="19"/>
              </w:rPr>
              <w:t>EU EUDI Wallet (eIDAS 2.0)</w:t>
            </w:r>
          </w:p>
        </w:tc>
        <w:tc>
          <w:tcPr>
            <w:tcW w:type="dxa" w:w="2736"/>
          </w:tcPr>
          <w:p>
            <w:r>
              <w:rPr>
                <w:sz w:val="19"/>
              </w:rPr>
              <w:t>Government-mandated selective-disclosure wallet, mandatory across the EU by late 2026</w:t>
            </w:r>
          </w:p>
        </w:tc>
        <w:tc>
          <w:tcPr>
            <w:tcW w:type="dxa" w:w="3168"/>
          </w:tcPr>
          <w:p>
            <w:r>
              <w:rPr>
                <w:sz w:val="19"/>
              </w:rPr>
              <w:t>Not India's; different legal and attribute schema</w:t>
            </w:r>
          </w:p>
        </w:tc>
        <w:tc>
          <w:tcPr>
            <w:tcW w:type="dxa" w:w="3168"/>
          </w:tcPr>
          <w:p>
            <w:r>
              <w:rPr>
                <w:sz w:val="19"/>
              </w:rPr>
              <w:t>Lets India pre-empt an equivalent mandate with home-grown technology instead of importing one later</w:t>
            </w:r>
          </w:p>
        </w:tc>
      </w:tr>
    </w:tbl>
    <w:p/>
    <w:p>
      <w:pPr>
        <w:pStyle w:val="Heading1"/>
      </w:pPr>
      <w:r>
        <w:t>4. Data collection &amp; consent strategy</w:t>
      </w:r>
    </w:p>
    <w:p>
      <w:pPr>
        <w:pStyle w:val="Heading2"/>
      </w:pPr>
      <w:r>
        <w:t>What data, and from where</w:t>
      </w:r>
    </w:p>
    <w:p>
      <w:pPr>
        <w:pStyle w:val="ListBullet"/>
      </w:pPr>
      <w:r>
        <w:t>Source of truth: the Aadhaar Offline e-KYC XML, which citizens already download from UIDAI today — no new data-collection infrastructure required.</w:t>
      </w:r>
    </w:p>
    <w:p>
      <w:pPr>
        <w:pStyle w:val="ListBullet"/>
      </w:pPr>
      <w:r>
        <w:t>Optional linkage: PAN, for the compound-KYC and pan_holder claims.</w:t>
      </w:r>
    </w:p>
    <w:p>
      <w:pPr>
        <w:pStyle w:val="ListBullet"/>
      </w:pPr>
      <w:r>
        <w:t>Everything above is parsed and consumed entirely client-side. It is never uploaded — there is no server endpoint that accepts it.</w:t>
      </w:r>
    </w:p>
    <w:p>
      <w:pPr>
        <w:pStyle w:val="Heading2"/>
      </w:pPr>
      <w:r>
        <w:t>What ZKGate's own servers store</w:t>
      </w:r>
    </w:p>
    <w:p>
      <w:pPr>
        <w:pStyle w:val="ListBullet"/>
      </w:pPr>
      <w:r>
        <w:t>Only the nullifier registry (hashes, not data) and a tamper-evident audit chain of proof metadata — enough for a regulator to audit usage patterns without ever seeing a citizen's attributes.</w:t>
      </w:r>
    </w:p>
    <w:p>
      <w:pPr>
        <w:pStyle w:val="Heading2"/>
      </w:pPr>
      <w:r>
        <w:t>Consent model</w:t>
      </w:r>
    </w:p>
    <w:p>
      <w:r>
        <w:rPr>
          <w:i w:val="0"/>
        </w:rPr>
        <w:t>Each proof request is framed as a purpose-bound, time-boxed consent artifact — deliberately mirroring the Data Empowerment and Protection Architecture (DEPA) and Account Aggregator consent-manager pattern already regulated by RBI in Indian finance. This lets ZKGate plug into an India-recognised consent framework rather than inventing a parallel one, and gives a judge a concrete answer to "how is consent governed?"</w:t>
      </w:r>
    </w:p>
    <w:p>
      <w:pPr>
        <w:pStyle w:val="Heading1"/>
      </w:pPr>
      <w:r>
        <w:t>5. Scalability &amp; rollout plan</w:t>
      </w:r>
    </w:p>
    <w:tbl>
      <w:tblPr>
        <w:tblStyle w:val="TableGrid"/>
        <w:tblW w:type="auto" w:w="0"/>
        <w:tblLayout w:type="fixed"/>
        <w:tblLook w:firstColumn="1" w:firstRow="1" w:lastColumn="0" w:lastRow="0" w:noHBand="0" w:noVBand="1" w:val="04A0"/>
      </w:tblPr>
      <w:tblGrid>
        <w:gridCol w:w="2880"/>
        <w:gridCol w:w="2880"/>
        <w:gridCol w:w="2880"/>
      </w:tblGrid>
      <w:tr>
        <w:tc>
          <w:tcPr>
            <w:tcW w:type="dxa" w:w="1872"/>
            <w:shd w:val="clear" w:color="auto" w:fill="D9E2F3"/>
          </w:tcPr>
          <w:p>
            <w:r>
              <w:rPr>
                <w:b/>
                <w:sz w:val="19"/>
              </w:rPr>
              <w:t>Phase</w:t>
            </w:r>
          </w:p>
        </w:tc>
        <w:tc>
          <w:tcPr>
            <w:tcW w:type="dxa" w:w="2016"/>
            <w:shd w:val="clear" w:color="auto" w:fill="D9E2F3"/>
          </w:tcPr>
          <w:p>
            <w:r>
              <w:rPr>
                <w:b/>
                <w:sz w:val="19"/>
              </w:rPr>
              <w:t>Timeline</w:t>
            </w:r>
          </w:p>
        </w:tc>
        <w:tc>
          <w:tcPr>
            <w:tcW w:type="dxa" w:w="7632"/>
            <w:shd w:val="clear" w:color="auto" w:fill="D9E2F3"/>
          </w:tcPr>
          <w:p>
            <w:r>
              <w:rPr>
                <w:b/>
                <w:sz w:val="19"/>
              </w:rPr>
              <w:t>What happens</w:t>
            </w:r>
          </w:p>
        </w:tc>
      </w:tr>
      <w:tr>
        <w:tc>
          <w:tcPr>
            <w:tcW w:type="dxa" w:w="1872"/>
          </w:tcPr>
          <w:p>
            <w:r>
              <w:rPr>
                <w:sz w:val="19"/>
              </w:rPr>
              <w:t>0 — Prototype</w:t>
            </w:r>
          </w:p>
        </w:tc>
        <w:tc>
          <w:tcPr>
            <w:tcW w:type="dxa" w:w="2016"/>
          </w:tcPr>
          <w:p>
            <w:r>
              <w:rPr>
                <w:sz w:val="19"/>
              </w:rPr>
              <w:t>Done</w:t>
            </w:r>
          </w:p>
        </w:tc>
        <w:tc>
          <w:tcPr>
            <w:tcW w:type="dxa" w:w="7632"/>
          </w:tcPr>
          <w:p>
            <w:r>
              <w:rPr>
                <w:sz w:val="19"/>
              </w:rPr>
              <w:t>Circuits + backend + SDK + citizen/verifier portals; 60+ tests passing across four layers; demo-tagged trust level throughout.</w:t>
            </w:r>
          </w:p>
        </w:tc>
      </w:tr>
      <w:tr>
        <w:tc>
          <w:tcPr>
            <w:tcW w:type="dxa" w:w="1872"/>
          </w:tcPr>
          <w:p>
            <w:r>
              <w:rPr>
                <w:sz w:val="19"/>
              </w:rPr>
              <w:t>1 — Close the trust gap</w:t>
            </w:r>
          </w:p>
        </w:tc>
        <w:tc>
          <w:tcPr>
            <w:tcW w:type="dxa" w:w="2016"/>
          </w:tcPr>
          <w:p>
            <w:r>
              <w:rPr>
                <w:sz w:val="19"/>
              </w:rPr>
              <w:t>0-3 months</w:t>
            </w:r>
          </w:p>
        </w:tc>
        <w:tc>
          <w:tcPr>
            <w:tcW w:type="dxa" w:w="7632"/>
          </w:tcPr>
          <w:p>
            <w:r>
              <w:rPr>
                <w:sz w:val="19"/>
              </w:rPr>
              <w:t>Issuer-signed commitment model (this session's build, Section 6) replaces the client-asserted signature bit; pilot with one verifier class (e.g. age-gated commerce or a single bank branch) inside a UIDAI sandbox.</w:t>
            </w:r>
          </w:p>
        </w:tc>
      </w:tr>
      <w:tr>
        <w:tc>
          <w:tcPr>
            <w:tcW w:type="dxa" w:w="1872"/>
          </w:tcPr>
          <w:p>
            <w:r>
              <w:rPr>
                <w:sz w:val="19"/>
              </w:rPr>
              <w:t>2 — Harden</w:t>
            </w:r>
          </w:p>
        </w:tc>
        <w:tc>
          <w:tcPr>
            <w:tcW w:type="dxa" w:w="2016"/>
          </w:tcPr>
          <w:p>
            <w:r>
              <w:rPr>
                <w:sz w:val="19"/>
              </w:rPr>
              <w:t>3-9 months</w:t>
            </w:r>
          </w:p>
        </w:tc>
        <w:tc>
          <w:tcPr>
            <w:tcW w:type="dxa" w:w="7632"/>
          </w:tcPr>
          <w:p>
            <w:r>
              <w:rPr>
                <w:sz w:val="19"/>
              </w:rPr>
              <w:t>Multi-party trusted-setup ceremony replacing the single-party demo setup; verifier registry opened to empanelled AUAs/KUAs; PAN attestation wired to Protean/CBDT.</w:t>
            </w:r>
          </w:p>
        </w:tc>
      </w:tr>
      <w:tr>
        <w:tc>
          <w:tcPr>
            <w:tcW w:type="dxa" w:w="1872"/>
          </w:tcPr>
          <w:p>
            <w:r>
              <w:rPr>
                <w:sz w:val="19"/>
              </w:rPr>
              <w:t>3 — State pilot</w:t>
            </w:r>
          </w:p>
        </w:tc>
        <w:tc>
          <w:tcPr>
            <w:tcW w:type="dxa" w:w="2016"/>
          </w:tcPr>
          <w:p>
            <w:r>
              <w:rPr>
                <w:sz w:val="19"/>
              </w:rPr>
              <w:t>9-18 months</w:t>
            </w:r>
          </w:p>
        </w:tc>
        <w:tc>
          <w:tcPr>
            <w:tcW w:type="dxa" w:w="7632"/>
          </w:tcPr>
          <w:p>
            <w:r>
              <w:rPr>
                <w:sz w:val="19"/>
              </w:rPr>
              <w:t>One state e-district or welfare-eligibility deployment; DEPA/Account-Aggregator consent-artifact wrapper; published as an open Digital Public Infrastructure (DPI) building block, the way UPI and DigiLocker were.</w:t>
            </w:r>
          </w:p>
        </w:tc>
      </w:tr>
      <w:tr>
        <w:tc>
          <w:tcPr>
            <w:tcW w:type="dxa" w:w="1872"/>
          </w:tcPr>
          <w:p>
            <w:r>
              <w:rPr>
                <w:sz w:val="19"/>
              </w:rPr>
              <w:t>4 — National, opt-in</w:t>
            </w:r>
          </w:p>
        </w:tc>
        <w:tc>
          <w:tcPr>
            <w:tcW w:type="dxa" w:w="2016"/>
          </w:tcPr>
          <w:p>
            <w:r>
              <w:rPr>
                <w:sz w:val="19"/>
              </w:rPr>
              <w:t>18+ months</w:t>
            </w:r>
          </w:p>
        </w:tc>
        <w:tc>
          <w:tcPr>
            <w:tcW w:type="dxa" w:w="7632"/>
          </w:tcPr>
          <w:p>
            <w:r>
              <w:rPr>
                <w:sz w:val="19"/>
              </w:rPr>
              <w:t>Offered alongside existing eKYC rails as a privacy upgrade, not a mandate; positioned as exportable DPI — India has already signed Digital Public Infrastructure cooperation agreements with 24 countries as of February 2026.</w:t>
            </w:r>
          </w:p>
        </w:tc>
      </w:tr>
    </w:tbl>
    <w:p/>
    <w:p>
      <w:pPr>
        <w:pStyle w:val="Heading1"/>
      </w:pPr>
      <w:r>
        <w:t>6. What changed in this session — closing the signature gap</w:t>
      </w:r>
    </w:p>
    <w:p>
      <w:r>
        <w:rPr>
          <w:i w:val="0"/>
        </w:rPr>
        <w:t>The project's own documentation (docs/UIDAI_INTEGRATION.md) names the client-asserted signature_valid bit as "the single most important gap" and lays out three ways to close it: (1) send the XML to a server — simplest, but destroys the privacy property; (2) a one-time issuer-signed commitment over the citizen's attributes, proved in-circuit via a small EdDSA check; (3) full in-circuit RSA-SHA256 verification of UIDAI's own signature, which is exactly what Anon Aadhaar's public-QR circuit does today, at the cost of a much larger circuit and slower phone-side proving.</w:t>
      </w:r>
    </w:p>
    <w:p>
      <w:r>
        <w:rPr>
          <w:i w:val="0"/>
        </w:rPr>
        <w:t>Given the research above, Option 2 is the pragmatic target for India specifically — it is also, per the project's own documentation, how most production ZK-identity systems (Anon Aadhaar's own lineage, the EU wallets) actually work under the hood: a light-weight issuer credential, not a monolithic in-circuit signature check. This session implemented it:</w:t>
      </w:r>
    </w:p>
    <w:p>
      <w:pPr>
        <w:pStyle w:val="ListBullet"/>
      </w:pPr>
      <w:r>
        <w:t>circuits/src/helpers/issuerCredential.circom — wraps circomlib's EdDSA-Poseidon verifier to check a licensed enrolment authority's signature over Poseidon(dob_year, dob_month, dob_day, aadhaar_secret), replacing the bare "signature_valid === 1" assertion.</w:t>
      </w:r>
    </w:p>
    <w:p>
      <w:pPr>
        <w:pStyle w:val="ListBullet"/>
      </w:pPr>
      <w:r>
        <w:t>circuits/src/ageProof.circom — updated to take the issuer's public key as a public input and the signature as a private input, and to verify it in-circuit instead of trusting a self-asserted bit.</w:t>
      </w:r>
    </w:p>
    <w:p>
      <w:pPr>
        <w:pStyle w:val="ListBullet"/>
      </w:pPr>
      <w:r>
        <w:t>scripts/issuer/issue_credential.mjs — a Node enrolment-authority script (using circomlibjs) that computes the commitment and signs it once, standing in for a licensed AUA/KUA in production.</w:t>
      </w:r>
    </w:p>
    <w:p>
      <w:pPr>
        <w:pStyle w:val="ListBullet"/>
      </w:pPr>
      <w:r>
        <w:t>Backend trust_level wiring so a proof built against a recognised issuer key reports attested instead of demo, with demo proofs still refused where policy requires attestation.</w:t>
      </w:r>
    </w:p>
    <w:p>
      <w:r>
        <w:rPr>
          <w:i w:val="0"/>
        </w:rPr>
        <w:t>Honest caveat carried forward: this build sandbox does not have the circom compiler installed, so the updated circuit could not be recompiled and run through trusted setup in this session — that step needs a machine with circom 2.x, exactly as the existing README already requires for any circuit change. The signing and commitment logic was verified directly using circomlibjs. Build and test commands are in the accompanying IMPLEMENTATION_NOTES.md.</w:t>
      </w:r>
    </w:p>
    <w:p>
      <w:pPr>
        <w:pStyle w:val="Heading1"/>
      </w:pPr>
      <w:r>
        <w:t>7. Judging-criteria alignment (100 marks)</w:t>
      </w:r>
    </w:p>
    <w:tbl>
      <w:tblPr>
        <w:tblStyle w:val="TableGrid"/>
        <w:tblW w:type="auto" w:w="0"/>
        <w:tblLayout w:type="fixed"/>
        <w:tblLook w:firstColumn="1" w:firstRow="1" w:lastColumn="0" w:lastRow="0" w:noHBand="0" w:noVBand="1" w:val="04A0"/>
      </w:tblPr>
      <w:tblGrid>
        <w:gridCol w:w="4320"/>
        <w:gridCol w:w="4320"/>
      </w:tblGrid>
      <w:tr>
        <w:tc>
          <w:tcPr>
            <w:tcW w:type="dxa" w:w="3312"/>
            <w:shd w:val="clear" w:color="auto" w:fill="D9E2F3"/>
          </w:tcPr>
          <w:p>
            <w:r>
              <w:rPr>
                <w:b/>
                <w:sz w:val="19"/>
              </w:rPr>
              <w:t>Criterion</w:t>
            </w:r>
          </w:p>
        </w:tc>
        <w:tc>
          <w:tcPr>
            <w:tcW w:type="dxa" w:w="8208"/>
            <w:shd w:val="clear" w:color="auto" w:fill="D9E2F3"/>
          </w:tcPr>
          <w:p>
            <w:r>
              <w:rPr>
                <w:b/>
                <w:sz w:val="19"/>
              </w:rPr>
              <w:t>Where this submission addresses it</w:t>
            </w:r>
          </w:p>
        </w:tc>
      </w:tr>
      <w:tr>
        <w:tc>
          <w:tcPr>
            <w:tcW w:type="dxa" w:w="3312"/>
          </w:tcPr>
          <w:p>
            <w:r>
              <w:rPr>
                <w:sz w:val="19"/>
              </w:rPr>
              <w:t>Problem-Solution Fit</w:t>
            </w:r>
          </w:p>
        </w:tc>
        <w:tc>
          <w:tcPr>
            <w:tcW w:type="dxa" w:w="8208"/>
          </w:tcPr>
          <w:p>
            <w:r>
              <w:rPr>
                <w:sz w:val="19"/>
              </w:rPr>
              <w:t>Manual, over-disclosing verification is the named problem; ~390ms proof generation with zero data transfer is the measured fix (see README end-to-end demo output).</w:t>
            </w:r>
          </w:p>
        </w:tc>
      </w:tr>
      <w:tr>
        <w:tc>
          <w:tcPr>
            <w:tcW w:type="dxa" w:w="3312"/>
          </w:tcPr>
          <w:p>
            <w:r>
              <w:rPr>
                <w:sz w:val="19"/>
              </w:rPr>
              <w:t>Innovation &amp; Uniqueness</w:t>
            </w:r>
          </w:p>
        </w:tc>
        <w:tc>
          <w:tcPr>
            <w:tcW w:type="dxa" w:w="8208"/>
          </w:tcPr>
          <w:p>
            <w:r>
              <w:rPr>
                <w:sz w:val="19"/>
              </w:rPr>
              <w:t>Issuer-credential trust path plus an India-specific claim catalogue (age, location, PAN, compound KYC) and a regulator-facing audit chain — differentiated point-by-point from Anon Aadhaar, DigiLocker and Polygon ID/Billions above.</w:t>
            </w:r>
          </w:p>
        </w:tc>
      </w:tr>
      <w:tr>
        <w:tc>
          <w:tcPr>
            <w:tcW w:type="dxa" w:w="3312"/>
          </w:tcPr>
          <w:p>
            <w:r>
              <w:rPr>
                <w:sz w:val="19"/>
              </w:rPr>
              <w:t>Prototype Readiness / Concept Maturity</w:t>
            </w:r>
          </w:p>
        </w:tc>
        <w:tc>
          <w:tcPr>
            <w:tcW w:type="dxa" w:w="8208"/>
          </w:tcPr>
          <w:p>
            <w:r>
              <w:rPr>
                <w:sz w:val="19"/>
              </w:rPr>
              <w:t>5 Circom circuits, a FastAPI backend with an independent Groth16 verifier, a JS SDK and two Next.js portals — 60+ tests passing across the four layers, plus a scripted end-to-end demo.</w:t>
            </w:r>
          </w:p>
        </w:tc>
      </w:tr>
      <w:tr>
        <w:tc>
          <w:tcPr>
            <w:tcW w:type="dxa" w:w="3312"/>
          </w:tcPr>
          <w:p>
            <w:r>
              <w:rPr>
                <w:sz w:val="19"/>
              </w:rPr>
              <w:t>Scalability &amp; Sustainability</w:t>
            </w:r>
          </w:p>
        </w:tc>
        <w:tc>
          <w:tcPr>
            <w:tcW w:type="dxa" w:w="8208"/>
          </w:tcPr>
          <w:p>
            <w:r>
              <w:rPr>
                <w:sz w:val="19"/>
              </w:rPr>
              <w:t>Phased rollout (Section 5) reusing UIDAI's existing offline e-KYC infrastructure — no new citizen-facing hardware or enrolment drive required.</w:t>
            </w:r>
          </w:p>
        </w:tc>
      </w:tr>
      <w:tr>
        <w:tc>
          <w:tcPr>
            <w:tcW w:type="dxa" w:w="3312"/>
          </w:tcPr>
          <w:p>
            <w:r>
              <w:rPr>
                <w:sz w:val="19"/>
              </w:rPr>
              <w:t>Impact Potential</w:t>
            </w:r>
          </w:p>
        </w:tc>
        <w:tc>
          <w:tcPr>
            <w:tcW w:type="dxa" w:w="8208"/>
          </w:tcPr>
          <w:p>
            <w:r>
              <w:rPr>
                <w:sz w:val="19"/>
              </w:rPr>
              <w:t>Applies across banking KYC, telecom SIM issuance, age-gated commerce, welfare eligibility and voter-roll checks with the same proving-key family.</w:t>
            </w:r>
          </w:p>
        </w:tc>
      </w:tr>
      <w:tr>
        <w:tc>
          <w:tcPr>
            <w:tcW w:type="dxa" w:w="3312"/>
          </w:tcPr>
          <w:p>
            <w:r>
              <w:rPr>
                <w:sz w:val="19"/>
              </w:rPr>
              <w:t>Alignment with National &amp; Strategic Priorities</w:t>
            </w:r>
          </w:p>
        </w:tc>
        <w:tc>
          <w:tcPr>
            <w:tcW w:type="dxa" w:w="8208"/>
          </w:tcPr>
          <w:p>
            <w:r>
              <w:rPr>
                <w:sz w:val="19"/>
              </w:rPr>
              <w:t>Indigenous, chain-free, government-operable — direct fit to the "Indigenous Innovation &amp; Technology Sovereignty" track and to Digital India's DPI-export posture.</w:t>
            </w:r>
          </w:p>
        </w:tc>
      </w:tr>
      <w:tr>
        <w:tc>
          <w:tcPr>
            <w:tcW w:type="dxa" w:w="3312"/>
          </w:tcPr>
          <w:p>
            <w:r>
              <w:rPr>
                <w:sz w:val="19"/>
              </w:rPr>
              <w:t>Presentation &amp; Communication</w:t>
            </w:r>
          </w:p>
        </w:tc>
        <w:tc>
          <w:tcPr>
            <w:tcW w:type="dxa" w:w="8208"/>
          </w:tcPr>
          <w:p>
            <w:r>
              <w:rPr>
                <w:sz w:val="19"/>
              </w:rPr>
              <w:t>This document plus the repository's README, ARCHITECTURE.md, CLAIMS.md and UIDAI_INTEGRATION.md, all cross-referenced rather than restated.</w:t>
            </w:r>
          </w:p>
        </w:tc>
      </w:tr>
    </w:tbl>
    <w:p/>
    <w:p>
      <w:pPr>
        <w:pStyle w:val="Heading1"/>
      </w:pPr>
      <w:r>
        <w:t>8. Open risks, stated plainly</w:t>
      </w:r>
    </w:p>
    <w:p>
      <w:pPr>
        <w:pStyle w:val="ListBullet"/>
      </w:pPr>
      <w:r>
        <w:t>Trusted setup is still a single-party ceremony — fine for a prototype, not for production (docs/TRUSTED_SETUP.md); Phase 2 above is the fix.</w:t>
      </w:r>
    </w:p>
    <w:p>
      <w:pPr>
        <w:pStyle w:val="ListBullet"/>
      </w:pPr>
      <w:r>
        <w:t>The issuer-credential model introduces one semi-trusted enrolment step; mitigated by restricting issuers to already-licensed AUAs/KUAs and making every issuance auditable.</w:t>
      </w:r>
    </w:p>
    <w:p>
      <w:pPr>
        <w:pStyle w:val="ListBullet"/>
      </w:pPr>
      <w:r>
        <w:t>PAN attestation remains client-asserted pending a Protean/CBDT integration — reported honestly as demo trust level, same pattern as the signature fix.</w:t>
      </w:r>
    </w:p>
    <w:p>
      <w:pPr>
        <w:pStyle w:val="Heading1"/>
      </w:pPr>
      <w:r>
        <w:t>9. Sources consulted</w:t>
      </w:r>
    </w:p>
    <w:p>
      <w:r>
        <w:rPr>
          <w:i/>
          <w:sz w:val="18"/>
        </w:rPr>
        <w:t>Anon Aadhaar documentation and GitHub (anon-aadhaar/anon-aadhaar); DigiLocker architecture analysis (arXiv:2012.10049; perfios.ai; digio.in); Polygon ID / Billions Network coverage (PANews, CoinDesk, polygon.technology); EU EUDI Wallet 2026 rollout guides (visasupdate.com, zyphe.com, deepidv.com); India Stack / DEPA / Account Aggregator summaries (MediaNama, Ikigai Law, ORF); 2026 Aadhaar expansion reporting (TechCrunch, PIB).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