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FUD (DWH)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FUD (DWH)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5039-HTI-001-BIST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FUD (DWH). Fuente Única de Datos: repositorio analítico unificado; en Fase 1 de implementación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Transversal.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Mission Critical. Puntaje de valor de negocio 5, criticidad 5.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  <w:t>Salvador Adrián Tijerina Dávila (satijerinad@tec.mx) concentra actualmente la documentación, la definición funcional y la coordinación de la implementación de FUD (sesión S-048, 15/09/2026) — iniciales 'SAT' ya reflejadas en Responsable funcional. Aún NO hay un Product Owner formalmente designado; queda pendiente definir explícitamente los roles de Product Owner, Responsable Funcional y Responsable Técnico como distintos entre sí.</w:t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malcala@tec.mx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Data warehouse central (en construcción). Nivel de customización: Custom Development.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Equipo Central* (Validar)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Equipo Central* (Validar)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Dueño de negocio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Salvador Adrián Tijerina Dávila (satijerinad@tec.mx) concentra actualmente la documentación, la definición funcional y la coordinación de la implementación de FUD (sesión S-048, 15/09/2026) — iniciales 'SAT' ya reflejadas en Responsable funcional. Aún NO hay un Product Owner formalmente designado; queda pendiente definir explícitamente los roles de Product Owner, Responsable Funcional y Responsable Técnico como distintos entre sí.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satijerinad@tec.mx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malcala@tec.mx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malcala@tec.mx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SAT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malcala@tec.mx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malcala@tec.mx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Equipo Central* (Validar)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Equipo Central* (Validar)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7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