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OpenText Access Manager (NAM)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OpenText Access Manager (NAM)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5149-VPA-002-IAMC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OpenText Access Manager (NAM). Gestión de identidad federada (SAML 2.0); integración con identidad institucional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 Puntaje de valor de negocio 5, criticidad 5.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Juan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Arturo 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OpenText.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alma.ortizh@tec.mx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alma.ortizh@tec.mx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Juan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Arturo 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arturo.a@tec.mx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arturo.a@tec.mx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arturo.a@tec.mx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arturo.a@tec.mx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alma.ortizh@tec.mx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alma.ortizh@tec.mx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alma.ortizh@tec.mx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alma.ortizh@tec.mx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