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Middleware Comercial B2C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Middleware Comercial B2C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5083-HTI-001-TRXO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Middleware Comercial B2C. Puente de datos / integración entre HubSpot, Salesforce, SEA y Looker; complementa leads y mueve registros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4, puntaje de salud técnica 3, criticidad 2.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Under Evaluation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Ernesto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Victor Rafael Tena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AWS.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victor.tena@tec.mx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victor.tena@tec.mx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Ernesto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Victor Rafael Tena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victor.tena@tec.mx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De acuerdo a sesiones previas con Gobierno de datos, se tiene un estimado de 1,800,000 registros en RDS (leads desde 2019 a 2025)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https://sso-saml-dev.tec.mx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https://sso-saml-qa.tec.mx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https://sso-saml.tec.mx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Under Evaluation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