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Drupal CMS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Drupal CMS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0601-HTI-003-DWPC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Drupal CMS. CMS para contenidos del Portal Unificado y sitios institucionales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Transversal.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High. Puntaje de valor de negocio 4, criticidad 4.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Diana Morón — PO citada en integración Drupal CMS → Portal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Bernardo Duran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Drupal. Nivel de customización: Commercial Off-the-Shelf.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Uman Diez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Uman Diez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Diana Morón — PO citada en integración Drupal CMS → Portal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Bernardo Duran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rafael.velez@tec.mx / cfrancor@tec.mx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rafael.velez@tec.mx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Diana Morón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Uman Diez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Uman Diez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7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  <w:t>https://test-cms.tec360.com/ (ambiente de Calidad/QA del CMS, acceso protegido por VPN TEC obligatoria — OLA "CMS Drupal – Portal Unificado", 17-ago-2026)</w:t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