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7ACF34FA" w:rsidR="00755C68" w:rsidRPr="0016605C" w:rsidRDefault="005A6966" w:rsidP="00232942">
      <w:pPr>
        <w:jc w:val="both"/>
        <w:rPr>
          <w:lang w:val="es-ES_tradnl"/>
        </w:rPr>
      </w:pPr>
      <w:r w:rsidRPr="0016605C">
        <w:rPr>
          <w:lang w:val="es-ES_tradnl"/>
        </w:rPr>
        <w:t>Informe</w:t>
      </w:r>
      <w:r w:rsidR="001C76EE" w:rsidRPr="0016605C">
        <w:rPr>
          <w:lang w:val="es-ES_tradnl"/>
        </w:rPr>
        <w:t xml:space="preserve"> Final</w:t>
      </w:r>
    </w:p>
    <w:p w14:paraId="2BC26EE9" w14:textId="77777777" w:rsidR="005A6966" w:rsidRPr="0016605C" w:rsidRDefault="005A6966" w:rsidP="00232942">
      <w:pPr>
        <w:jc w:val="both"/>
        <w:rPr>
          <w:lang w:val="es-ES_tradnl"/>
        </w:rPr>
      </w:pPr>
    </w:p>
    <w:p w14:paraId="5D25A3DB" w14:textId="77777777" w:rsidR="005A6966" w:rsidRPr="0016605C" w:rsidRDefault="005A6966" w:rsidP="00232942">
      <w:pPr>
        <w:jc w:val="both"/>
        <w:rPr>
          <w:b/>
          <w:lang w:val="es-ES_tradnl"/>
        </w:rPr>
      </w:pPr>
      <w:r w:rsidRPr="0016605C">
        <w:rPr>
          <w:b/>
          <w:lang w:val="es-ES_tradnl"/>
        </w:rPr>
        <w:t>CRISP DM</w:t>
      </w:r>
    </w:p>
    <w:p w14:paraId="080BDFC7" w14:textId="77777777" w:rsidR="00755C68" w:rsidRPr="0016605C" w:rsidRDefault="00755C68" w:rsidP="00232942">
      <w:pPr>
        <w:jc w:val="both"/>
        <w:rPr>
          <w:lang w:val="es-ES_tradnl"/>
        </w:rPr>
      </w:pP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bookmarkStart w:id="0" w:name="_GoBack"/>
      <w:bookmarkEnd w:id="0"/>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Default="005A6966" w:rsidP="00940E20">
      <w:pPr>
        <w:pStyle w:val="Prrafodelista"/>
        <w:numPr>
          <w:ilvl w:val="0"/>
          <w:numId w:val="2"/>
        </w:numPr>
        <w:ind w:left="851" w:hanging="436"/>
        <w:jc w:val="both"/>
        <w:rPr>
          <w:i/>
          <w:lang w:val="es-ES_tradnl"/>
        </w:rPr>
      </w:pPr>
      <w:r w:rsidRPr="00940E20">
        <w:rPr>
          <w:i/>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086C816A"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contrario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proofErr w:type="spellStart"/>
      <w:r w:rsidR="00232CFB" w:rsidRPr="00232CFB">
        <w:rPr>
          <w:lang w:val="es-ES_tradnl"/>
        </w:rPr>
        <w:t>numero</w:t>
      </w:r>
      <w:proofErr w:type="spellEnd"/>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proofErr w:type="spellStart"/>
      <w:r w:rsidR="00232CFB">
        <w:rPr>
          <w:lang w:val="es-ES_tradnl"/>
        </w:rPr>
        <w:t>catalogo</w:t>
      </w:r>
      <w:proofErr w:type="spellEnd"/>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lastRenderedPageBreak/>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Default="005A6966" w:rsidP="00232CFB">
      <w:pPr>
        <w:pStyle w:val="Prrafodelista"/>
        <w:numPr>
          <w:ilvl w:val="0"/>
          <w:numId w:val="13"/>
        </w:numPr>
        <w:jc w:val="both"/>
        <w:rPr>
          <w:i/>
          <w:lang w:val="es-ES_tradnl"/>
        </w:rPr>
      </w:pPr>
      <w:r w:rsidRPr="00232CFB">
        <w:rPr>
          <w:i/>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Default="003D5888" w:rsidP="00232CFB">
      <w:pPr>
        <w:pStyle w:val="Prrafodelista"/>
        <w:numPr>
          <w:ilvl w:val="0"/>
          <w:numId w:val="13"/>
        </w:numPr>
        <w:jc w:val="both"/>
        <w:rPr>
          <w:i/>
          <w:lang w:val="es-ES_tradnl"/>
        </w:rPr>
      </w:pPr>
      <w:r>
        <w:rPr>
          <w:i/>
          <w:lang w:val="es-ES_tradnl"/>
        </w:rPr>
        <w:t>Limpieza de</w:t>
      </w:r>
      <w:r w:rsidR="005A6966" w:rsidRPr="00232CFB">
        <w:rPr>
          <w:i/>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Default="005A6966" w:rsidP="00232CFB">
      <w:pPr>
        <w:pStyle w:val="Prrafodelista"/>
        <w:numPr>
          <w:ilvl w:val="0"/>
          <w:numId w:val="13"/>
        </w:numPr>
        <w:jc w:val="both"/>
        <w:rPr>
          <w:i/>
          <w:lang w:val="es-ES_tradnl"/>
        </w:rPr>
      </w:pPr>
      <w:r w:rsidRPr="00232CFB">
        <w:rPr>
          <w:i/>
          <w:lang w:val="es-ES_tradnl"/>
        </w:rPr>
        <w:t>Integración de los datos</w:t>
      </w:r>
    </w:p>
    <w:p w14:paraId="46CF8FC4" w14:textId="371570B8"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proofErr w:type="spellStart"/>
      <w:r w:rsidRPr="006B25BF">
        <w:rPr>
          <w:lang w:val="es-ES_tradnl"/>
        </w:rPr>
        <w:t>catalogo</w:t>
      </w:r>
      <w:proofErr w:type="spellEnd"/>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Default="006B25BF" w:rsidP="006B25BF">
      <w:pPr>
        <w:pStyle w:val="Prrafodelista"/>
        <w:numPr>
          <w:ilvl w:val="0"/>
          <w:numId w:val="13"/>
        </w:numPr>
        <w:jc w:val="both"/>
        <w:rPr>
          <w:i/>
          <w:lang w:val="es-ES_tradnl"/>
        </w:rPr>
      </w:pPr>
      <w:r w:rsidRPr="006B25BF">
        <w:rPr>
          <w:i/>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Default="005A6966" w:rsidP="00D96489">
      <w:pPr>
        <w:pStyle w:val="Prrafodelista"/>
        <w:numPr>
          <w:ilvl w:val="0"/>
          <w:numId w:val="14"/>
        </w:numPr>
        <w:jc w:val="both"/>
        <w:rPr>
          <w:i/>
          <w:lang w:val="es-ES_tradnl"/>
        </w:rPr>
      </w:pPr>
      <w:r w:rsidRPr="00D96489">
        <w:rPr>
          <w:i/>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Default="005A6966" w:rsidP="00D96489">
      <w:pPr>
        <w:pStyle w:val="Prrafodelista"/>
        <w:numPr>
          <w:ilvl w:val="0"/>
          <w:numId w:val="14"/>
        </w:numPr>
        <w:jc w:val="both"/>
        <w:rPr>
          <w:i/>
          <w:lang w:val="es-ES_tradnl"/>
        </w:rPr>
      </w:pPr>
      <w:r w:rsidRPr="00D96489">
        <w:rPr>
          <w:i/>
          <w:lang w:val="es-ES_tradnl"/>
        </w:rPr>
        <w:t>Generar diseño</w:t>
      </w:r>
      <w:r w:rsidR="00EC0E34" w:rsidRPr="00D96489">
        <w:rPr>
          <w:i/>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lastRenderedPageBreak/>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71976" w:rsidRDefault="00EC0E34" w:rsidP="00232942">
      <w:pPr>
        <w:pStyle w:val="Prrafodelista"/>
        <w:numPr>
          <w:ilvl w:val="0"/>
          <w:numId w:val="9"/>
        </w:numPr>
        <w:jc w:val="both"/>
        <w:rPr>
          <w:b/>
          <w:u w:val="single"/>
          <w:lang w:val="es-ES_tradnl"/>
        </w:rPr>
      </w:pPr>
      <w:r w:rsidRPr="00271976">
        <w:rPr>
          <w:b/>
          <w:u w:val="single"/>
          <w:lang w:val="es-ES_tradnl"/>
        </w:rPr>
        <w:t>Punto adicional I</w:t>
      </w:r>
      <w:r w:rsidR="00B476DB" w:rsidRPr="00271976">
        <w:rPr>
          <w:b/>
          <w:u w:val="single"/>
          <w:lang w:val="es-ES_tradnl"/>
        </w:rPr>
        <w:t xml:space="preserve"> </w:t>
      </w:r>
      <w:r w:rsidR="00271976" w:rsidRPr="00271976">
        <w:rPr>
          <w:b/>
          <w:u w:val="single"/>
          <w:lang w:val="es-ES_tradnl"/>
        </w:rPr>
        <w:t>–</w:t>
      </w:r>
      <w:r w:rsidR="00B476DB" w:rsidRPr="00271976">
        <w:rPr>
          <w:b/>
          <w:u w:val="single"/>
          <w:lang w:val="es-ES_tradnl"/>
        </w:rPr>
        <w:t xml:space="preserve"> </w:t>
      </w:r>
      <w:r w:rsidR="00271976" w:rsidRPr="00271976">
        <w:rPr>
          <w:b/>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lastRenderedPageBreak/>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8BC2302" w14:textId="77777777" w:rsidR="00B476DB" w:rsidRPr="00B476DB" w:rsidRDefault="00B476DB" w:rsidP="00B476DB">
      <w:pPr>
        <w:jc w:val="both"/>
        <w:rPr>
          <w:lang w:val="es-ES_tradnl"/>
        </w:rPr>
      </w:pPr>
    </w:p>
    <w:p w14:paraId="132CBD8E" w14:textId="77777777" w:rsidR="00B476DB" w:rsidRPr="00B476DB" w:rsidRDefault="00B476DB" w:rsidP="00B476DB">
      <w:pPr>
        <w:jc w:val="both"/>
        <w:rPr>
          <w:lang w:val="es-ES_tradnl"/>
        </w:rPr>
      </w:pPr>
    </w:p>
    <w:p w14:paraId="1B9A7CBE" w14:textId="77777777" w:rsidR="00B476DB" w:rsidRPr="00B476DB" w:rsidRDefault="00B476DB" w:rsidP="00B476DB">
      <w:pPr>
        <w:jc w:val="both"/>
        <w:rPr>
          <w:lang w:val="es-ES_tradnl"/>
        </w:rPr>
      </w:pPr>
    </w:p>
    <w:p w14:paraId="57B8A707" w14:textId="77777777" w:rsidR="00B476DB" w:rsidRPr="00B476DB" w:rsidRDefault="00B476DB" w:rsidP="00B476DB">
      <w:pPr>
        <w:jc w:val="both"/>
        <w:rPr>
          <w:lang w:val="es-ES_tradnl"/>
        </w:rPr>
      </w:pPr>
    </w:p>
    <w:p w14:paraId="2922B54A" w14:textId="10B054FA" w:rsidR="00EC0E34" w:rsidRPr="0016605C" w:rsidRDefault="00EC0E34" w:rsidP="00232942">
      <w:pPr>
        <w:pStyle w:val="Prrafodelista"/>
        <w:numPr>
          <w:ilvl w:val="0"/>
          <w:numId w:val="9"/>
        </w:numPr>
        <w:jc w:val="both"/>
        <w:rPr>
          <w:lang w:val="es-ES_tradnl"/>
        </w:rPr>
      </w:pPr>
      <w:r w:rsidRPr="0016605C">
        <w:rPr>
          <w:lang w:val="es-ES_tradnl"/>
        </w:rPr>
        <w:t>Punto adicional II</w:t>
      </w: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E133D"/>
    <w:rsid w:val="00315376"/>
    <w:rsid w:val="0037510E"/>
    <w:rsid w:val="003D5888"/>
    <w:rsid w:val="003F3CEE"/>
    <w:rsid w:val="004B3099"/>
    <w:rsid w:val="004F2CDB"/>
    <w:rsid w:val="004F4A09"/>
    <w:rsid w:val="005024D0"/>
    <w:rsid w:val="00536326"/>
    <w:rsid w:val="005A6966"/>
    <w:rsid w:val="005C1B08"/>
    <w:rsid w:val="00657C48"/>
    <w:rsid w:val="006B25BF"/>
    <w:rsid w:val="00755C68"/>
    <w:rsid w:val="0078049E"/>
    <w:rsid w:val="007852DD"/>
    <w:rsid w:val="007B40BD"/>
    <w:rsid w:val="0083469B"/>
    <w:rsid w:val="00850344"/>
    <w:rsid w:val="00854A47"/>
    <w:rsid w:val="008E7B7F"/>
    <w:rsid w:val="00940E20"/>
    <w:rsid w:val="00960CAE"/>
    <w:rsid w:val="00995D39"/>
    <w:rsid w:val="00997262"/>
    <w:rsid w:val="00A97D9E"/>
    <w:rsid w:val="00AA2204"/>
    <w:rsid w:val="00AA2D6E"/>
    <w:rsid w:val="00B476DB"/>
    <w:rsid w:val="00BA453C"/>
    <w:rsid w:val="00C011F7"/>
    <w:rsid w:val="00C22AE7"/>
    <w:rsid w:val="00C2356A"/>
    <w:rsid w:val="00D30B08"/>
    <w:rsid w:val="00D814CE"/>
    <w:rsid w:val="00D96489"/>
    <w:rsid w:val="00E1589E"/>
    <w:rsid w:val="00E75A41"/>
    <w:rsid w:val="00EC0E34"/>
    <w:rsid w:val="00ED4DA2"/>
    <w:rsid w:val="00F7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5025-3E67-4E26-BCAB-0CAC6B3E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3860</Words>
  <Characters>22002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6</cp:revision>
  <dcterms:created xsi:type="dcterms:W3CDTF">2018-10-29T03:03:00Z</dcterms:created>
  <dcterms:modified xsi:type="dcterms:W3CDTF">2018-10-29T03:50:00Z</dcterms:modified>
</cp:coreProperties>
</file>