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FB91" w14:textId="65734746" w:rsidR="00CC1B0B" w:rsidRDefault="005C7C63">
      <w:r>
        <w:rPr>
          <w:noProof/>
        </w:rPr>
        <mc:AlternateContent>
          <mc:Choice Requires="wps">
            <w:drawing>
              <wp:anchor distT="0" distB="0" distL="114300" distR="114300" simplePos="0" relativeHeight="251659264" behindDoc="0" locked="0" layoutInCell="1" allowOverlap="1" wp14:anchorId="1282342E" wp14:editId="29F347AC">
                <wp:simplePos x="0" y="0"/>
                <wp:positionH relativeFrom="column">
                  <wp:posOffset>3064329</wp:posOffset>
                </wp:positionH>
                <wp:positionV relativeFrom="paragraph">
                  <wp:posOffset>2960914</wp:posOffset>
                </wp:positionV>
                <wp:extent cx="0" cy="1122317"/>
                <wp:effectExtent l="0" t="0" r="38100" b="20955"/>
                <wp:wrapNone/>
                <wp:docPr id="1258792558" name="Straight Connector 1"/>
                <wp:cNvGraphicFramePr/>
                <a:graphic xmlns:a="http://schemas.openxmlformats.org/drawingml/2006/main">
                  <a:graphicData uri="http://schemas.microsoft.com/office/word/2010/wordprocessingShape">
                    <wps:wsp>
                      <wps:cNvCnPr/>
                      <wps:spPr>
                        <a:xfrm flipV="1">
                          <a:off x="0" y="0"/>
                          <a:ext cx="0" cy="112231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51473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3pt,233.15pt" to="241.3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" strokecolor="#156082 [3204]" strokeweight=".5pt">
                <v:stroke joinstyle="miter"/>
              </v:line>
            </w:pict>
          </mc:Fallback>
        </mc:AlternateContent>
      </w:r>
      <w:r w:rsidRPr="005C7C63">
        <w:rPr>
          <w:noProof/>
        </w:rPr>
        <w:drawing>
          <wp:inline distT="0" distB="0" distL="0" distR="0" wp14:anchorId="4A45B153" wp14:editId="4E07B75C">
            <wp:extent cx="5731510" cy="4604385"/>
            <wp:effectExtent l="0" t="0" r="2540" b="5715"/>
            <wp:docPr id="1404430090" name="Picture 1" descr="A graph of different types of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30090" name="Picture 1" descr="A graph of different types of temperature&#10;&#10;AI-generated content may be incorrect."/>
                    <pic:cNvPicPr/>
                  </pic:nvPicPr>
                  <pic:blipFill>
                    <a:blip r:embed="rId5"/>
                    <a:stretch>
                      <a:fillRect/>
                    </a:stretch>
                  </pic:blipFill>
                  <pic:spPr>
                    <a:xfrm>
                      <a:off x="0" y="0"/>
                      <a:ext cx="5731510" cy="4604385"/>
                    </a:xfrm>
                    <a:prstGeom prst="rect">
                      <a:avLst/>
                    </a:prstGeom>
                  </pic:spPr>
                </pic:pic>
              </a:graphicData>
            </a:graphic>
          </wp:inline>
        </w:drawing>
      </w:r>
    </w:p>
    <w:p w14:paraId="689E95A3" w14:textId="15F5CD29" w:rsidR="005C7C63" w:rsidRDefault="005C7C63">
      <w:r>
        <w:t xml:space="preserve">Temperature of wastewater in winter. That would be the worst case scenario. </w:t>
      </w:r>
    </w:p>
    <w:p w14:paraId="6609FECD" w14:textId="647128BA" w:rsidR="005C7C63" w:rsidRDefault="00FC7BDD">
      <w:r w:rsidRPr="00FC7BDD">
        <w:rPr>
          <w:noProof/>
        </w:rPr>
        <w:drawing>
          <wp:inline distT="0" distB="0" distL="0" distR="0" wp14:anchorId="6434521E" wp14:editId="3137F2D0">
            <wp:extent cx="5731510" cy="3488055"/>
            <wp:effectExtent l="0" t="0" r="2540" b="0"/>
            <wp:docPr id="209948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86969" name=""/>
                    <pic:cNvPicPr/>
                  </pic:nvPicPr>
                  <pic:blipFill>
                    <a:blip r:embed="rId6"/>
                    <a:stretch>
                      <a:fillRect/>
                    </a:stretch>
                  </pic:blipFill>
                  <pic:spPr>
                    <a:xfrm>
                      <a:off x="0" y="0"/>
                      <a:ext cx="5731510" cy="3488055"/>
                    </a:xfrm>
                    <a:prstGeom prst="rect">
                      <a:avLst/>
                    </a:prstGeom>
                  </pic:spPr>
                </pic:pic>
              </a:graphicData>
            </a:graphic>
          </wp:inline>
        </w:drawing>
      </w:r>
    </w:p>
    <w:p w14:paraId="2BA4F7E7" w14:textId="6D6239E6" w:rsidR="00315B0D" w:rsidRDefault="00315B0D">
      <w:r w:rsidRPr="00315B0D">
        <w:rPr>
          <w:noProof/>
        </w:rPr>
        <w:lastRenderedPageBreak/>
        <w:drawing>
          <wp:inline distT="0" distB="0" distL="0" distR="0" wp14:anchorId="6C540D6F" wp14:editId="57A4B11B">
            <wp:extent cx="5731510" cy="3215640"/>
            <wp:effectExtent l="0" t="0" r="2540" b="3810"/>
            <wp:docPr id="1689613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13447" name="Picture 1" descr="A screenshot of a computer&#10;&#10;AI-generated content may be incorrect."/>
                    <pic:cNvPicPr/>
                  </pic:nvPicPr>
                  <pic:blipFill>
                    <a:blip r:embed="rId7"/>
                    <a:stretch>
                      <a:fillRect/>
                    </a:stretch>
                  </pic:blipFill>
                  <pic:spPr>
                    <a:xfrm>
                      <a:off x="0" y="0"/>
                      <a:ext cx="5731510" cy="3215640"/>
                    </a:xfrm>
                    <a:prstGeom prst="rect">
                      <a:avLst/>
                    </a:prstGeom>
                  </pic:spPr>
                </pic:pic>
              </a:graphicData>
            </a:graphic>
          </wp:inline>
        </w:drawing>
      </w:r>
    </w:p>
    <w:p w14:paraId="1A075265" w14:textId="77777777" w:rsidR="00FC7BDD" w:rsidRDefault="00FC7BDD"/>
    <w:p w14:paraId="1D4B6BA1" w14:textId="741570A8" w:rsidR="00FC7BDD" w:rsidRDefault="00FC7BDD">
      <w:r w:rsidRPr="00FC7BDD">
        <w:rPr>
          <w:noProof/>
        </w:rPr>
        <w:drawing>
          <wp:inline distT="0" distB="0" distL="0" distR="0" wp14:anchorId="758FC8B3" wp14:editId="129DB450">
            <wp:extent cx="5731510" cy="3314065"/>
            <wp:effectExtent l="0" t="0" r="2540" b="635"/>
            <wp:docPr id="262289163"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9163" name="Picture 1" descr="A close-up of a paper&#10;&#10;AI-generated content may be incorrect."/>
                    <pic:cNvPicPr/>
                  </pic:nvPicPr>
                  <pic:blipFill>
                    <a:blip r:embed="rId8"/>
                    <a:stretch>
                      <a:fillRect/>
                    </a:stretch>
                  </pic:blipFill>
                  <pic:spPr>
                    <a:xfrm>
                      <a:off x="0" y="0"/>
                      <a:ext cx="5731510" cy="3314065"/>
                    </a:xfrm>
                    <a:prstGeom prst="rect">
                      <a:avLst/>
                    </a:prstGeom>
                  </pic:spPr>
                </pic:pic>
              </a:graphicData>
            </a:graphic>
          </wp:inline>
        </w:drawing>
      </w:r>
    </w:p>
    <w:p w14:paraId="3D8CBE36" w14:textId="77777777" w:rsidR="008E5BA1" w:rsidRDefault="008E5BA1"/>
    <w:p w14:paraId="0CD6BA35" w14:textId="4E39B2D5" w:rsidR="008E5BA1" w:rsidRDefault="008E5BA1">
      <w:r w:rsidRPr="008E5BA1">
        <w:rPr>
          <w:noProof/>
        </w:rPr>
        <w:lastRenderedPageBreak/>
        <w:drawing>
          <wp:inline distT="0" distB="0" distL="0" distR="0" wp14:anchorId="168E719E" wp14:editId="2404D2BF">
            <wp:extent cx="5731510" cy="4402455"/>
            <wp:effectExtent l="0" t="0" r="2540" b="0"/>
            <wp:docPr id="180542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4168" name=""/>
                    <pic:cNvPicPr/>
                  </pic:nvPicPr>
                  <pic:blipFill>
                    <a:blip r:embed="rId9"/>
                    <a:stretch>
                      <a:fillRect/>
                    </a:stretch>
                  </pic:blipFill>
                  <pic:spPr>
                    <a:xfrm>
                      <a:off x="0" y="0"/>
                      <a:ext cx="5731510" cy="4402455"/>
                    </a:xfrm>
                    <a:prstGeom prst="rect">
                      <a:avLst/>
                    </a:prstGeom>
                  </pic:spPr>
                </pic:pic>
              </a:graphicData>
            </a:graphic>
          </wp:inline>
        </w:drawing>
      </w:r>
    </w:p>
    <w:p w14:paraId="49ACCC30" w14:textId="77777777" w:rsidR="001261CC" w:rsidRDefault="001261CC"/>
    <w:p w14:paraId="09A8A7B6" w14:textId="6CC68BD8" w:rsidR="001261CC" w:rsidRDefault="001261CC">
      <w:r w:rsidRPr="001261CC">
        <w:rPr>
          <w:noProof/>
        </w:rPr>
        <w:drawing>
          <wp:inline distT="0" distB="0" distL="0" distR="0" wp14:anchorId="17EFC732" wp14:editId="233EF905">
            <wp:extent cx="5731510" cy="2794635"/>
            <wp:effectExtent l="0" t="0" r="2540" b="5715"/>
            <wp:docPr id="1616337919" name="Picture 1" descr="A close-up of a chemistry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37919" name="Picture 1" descr="A close-up of a chemistry test&#10;&#10;AI-generated content may be incorrect."/>
                    <pic:cNvPicPr/>
                  </pic:nvPicPr>
                  <pic:blipFill>
                    <a:blip r:embed="rId10"/>
                    <a:stretch>
                      <a:fillRect/>
                    </a:stretch>
                  </pic:blipFill>
                  <pic:spPr>
                    <a:xfrm>
                      <a:off x="0" y="0"/>
                      <a:ext cx="5731510" cy="2794635"/>
                    </a:xfrm>
                    <a:prstGeom prst="rect">
                      <a:avLst/>
                    </a:prstGeom>
                  </pic:spPr>
                </pic:pic>
              </a:graphicData>
            </a:graphic>
          </wp:inline>
        </w:drawing>
      </w:r>
    </w:p>
    <w:p w14:paraId="52842E96" w14:textId="77777777" w:rsidR="000B712F" w:rsidRDefault="000B712F"/>
    <w:p w14:paraId="66089D5A" w14:textId="2E063F43" w:rsidR="000B712F" w:rsidRDefault="000B712F">
      <w:pPr>
        <w:rPr>
          <w:noProof/>
        </w:rPr>
      </w:pPr>
      <w:r w:rsidRPr="000B712F">
        <w:rPr>
          <w:noProof/>
        </w:rPr>
        <w:lastRenderedPageBreak/>
        <w:drawing>
          <wp:inline distT="0" distB="0" distL="0" distR="0" wp14:anchorId="63E2DB81" wp14:editId="37B866CD">
            <wp:extent cx="5731510" cy="1212215"/>
            <wp:effectExtent l="0" t="0" r="2540" b="6985"/>
            <wp:docPr id="140490380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03802" name="Picture 1" descr="A black text on a white background&#10;&#10;AI-generated content may be incorrect."/>
                    <pic:cNvPicPr/>
                  </pic:nvPicPr>
                  <pic:blipFill>
                    <a:blip r:embed="rId11"/>
                    <a:stretch>
                      <a:fillRect/>
                    </a:stretch>
                  </pic:blipFill>
                  <pic:spPr>
                    <a:xfrm>
                      <a:off x="0" y="0"/>
                      <a:ext cx="5731510" cy="1212215"/>
                    </a:xfrm>
                    <a:prstGeom prst="rect">
                      <a:avLst/>
                    </a:prstGeom>
                  </pic:spPr>
                </pic:pic>
              </a:graphicData>
            </a:graphic>
          </wp:inline>
        </w:drawing>
      </w:r>
      <w:r w:rsidR="00F26827" w:rsidRPr="00F26827">
        <w:rPr>
          <w:noProof/>
        </w:rPr>
        <w:t xml:space="preserve"> </w:t>
      </w:r>
      <w:r w:rsidR="00F26827" w:rsidRPr="00F26827">
        <w:drawing>
          <wp:inline distT="0" distB="0" distL="0" distR="0" wp14:anchorId="3C8D3822" wp14:editId="41473F66">
            <wp:extent cx="5731510" cy="2757805"/>
            <wp:effectExtent l="0" t="0" r="2540" b="4445"/>
            <wp:docPr id="1453811605"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11605" name="Picture 1" descr="A close-up of a paper&#10;&#10;AI-generated content may be incorrect."/>
                    <pic:cNvPicPr/>
                  </pic:nvPicPr>
                  <pic:blipFill>
                    <a:blip r:embed="rId12"/>
                    <a:stretch>
                      <a:fillRect/>
                    </a:stretch>
                  </pic:blipFill>
                  <pic:spPr>
                    <a:xfrm>
                      <a:off x="0" y="0"/>
                      <a:ext cx="5731510" cy="2757805"/>
                    </a:xfrm>
                    <a:prstGeom prst="rect">
                      <a:avLst/>
                    </a:prstGeom>
                  </pic:spPr>
                </pic:pic>
              </a:graphicData>
            </a:graphic>
          </wp:inline>
        </w:drawing>
      </w:r>
    </w:p>
    <w:p w14:paraId="7D656E2B" w14:textId="5AAE2D98" w:rsidR="00F26827" w:rsidRDefault="00F26827">
      <w:proofErr w:type="spellStart"/>
      <w:r w:rsidRPr="00F26827">
        <w:rPr>
          <w:lang w:val="es-CO"/>
        </w:rPr>
        <w:t>Chudoba</w:t>
      </w:r>
      <w:proofErr w:type="spellEnd"/>
      <w:r w:rsidRPr="00F26827">
        <w:rPr>
          <w:lang w:val="es-CO"/>
        </w:rPr>
        <w:t xml:space="preserve">, J., </w:t>
      </w:r>
      <w:proofErr w:type="spellStart"/>
      <w:r w:rsidRPr="00F26827">
        <w:rPr>
          <w:lang w:val="es-CO"/>
        </w:rPr>
        <w:t>Ottová</w:t>
      </w:r>
      <w:proofErr w:type="spellEnd"/>
      <w:r w:rsidRPr="00F26827">
        <w:rPr>
          <w:lang w:val="es-CO"/>
        </w:rPr>
        <w:t xml:space="preserve">, V., &amp; </w:t>
      </w:r>
      <w:proofErr w:type="spellStart"/>
      <w:r w:rsidRPr="00F26827">
        <w:rPr>
          <w:lang w:val="es-CO"/>
        </w:rPr>
        <w:t>Maděra</w:t>
      </w:r>
      <w:proofErr w:type="spellEnd"/>
      <w:r w:rsidRPr="00F26827">
        <w:rPr>
          <w:lang w:val="es-CO"/>
        </w:rPr>
        <w:t xml:space="preserve">, V. (1973). </w:t>
      </w:r>
      <w:r w:rsidRPr="00F26827">
        <w:t xml:space="preserve">Control of activated sludge filamentous bulking—I. Effect of the hydraulic regime or degree of mixing in an aeration tank. </w:t>
      </w:r>
      <w:r w:rsidRPr="00F26827">
        <w:rPr>
          <w:i/>
          <w:iCs/>
        </w:rPr>
        <w:t>Water Research, 7</w:t>
      </w:r>
      <w:r w:rsidRPr="00F26827">
        <w:t>(8), 1163–1182. https://doi.org/10.1016/0043-1354(73)90070-5</w:t>
      </w:r>
    </w:p>
    <w:p w14:paraId="16750318" w14:textId="2CC5B3F6" w:rsidR="00784C72" w:rsidRDefault="00784C72" w:rsidP="00EB0EE6">
      <w:pPr>
        <w:jc w:val="center"/>
      </w:pPr>
      <w:r w:rsidRPr="00784C72">
        <w:rPr>
          <w:noProof/>
        </w:rPr>
        <w:drawing>
          <wp:inline distT="0" distB="0" distL="0" distR="0" wp14:anchorId="3795AC13" wp14:editId="33A4459B">
            <wp:extent cx="4204855" cy="3396587"/>
            <wp:effectExtent l="0" t="0" r="5715" b="0"/>
            <wp:docPr id="80860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02677" name=""/>
                    <pic:cNvPicPr/>
                  </pic:nvPicPr>
                  <pic:blipFill>
                    <a:blip r:embed="rId13"/>
                    <a:stretch>
                      <a:fillRect/>
                    </a:stretch>
                  </pic:blipFill>
                  <pic:spPr>
                    <a:xfrm>
                      <a:off x="0" y="0"/>
                      <a:ext cx="4207872" cy="3399024"/>
                    </a:xfrm>
                    <a:prstGeom prst="rect">
                      <a:avLst/>
                    </a:prstGeom>
                  </pic:spPr>
                </pic:pic>
              </a:graphicData>
            </a:graphic>
          </wp:inline>
        </w:drawing>
      </w:r>
    </w:p>
    <w:p w14:paraId="1891357C" w14:textId="77777777" w:rsidR="007C1B90" w:rsidRDefault="007C1B90"/>
    <w:p w14:paraId="6AA9EC9E" w14:textId="71ABB577" w:rsidR="00146558" w:rsidRDefault="00146558" w:rsidP="00EB0EE6">
      <w:pPr>
        <w:jc w:val="center"/>
      </w:pPr>
      <w:r w:rsidRPr="00146558">
        <w:rPr>
          <w:noProof/>
        </w:rPr>
        <w:lastRenderedPageBreak/>
        <w:drawing>
          <wp:inline distT="0" distB="0" distL="0" distR="0" wp14:anchorId="635D86C5" wp14:editId="6DB041DF">
            <wp:extent cx="4544291" cy="3655672"/>
            <wp:effectExtent l="0" t="0" r="8890" b="2540"/>
            <wp:docPr id="59771368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13684" name="Picture 1" descr="A screenshot of a computer screen&#10;&#10;AI-generated content may be incorrect."/>
                    <pic:cNvPicPr/>
                  </pic:nvPicPr>
                  <pic:blipFill>
                    <a:blip r:embed="rId14"/>
                    <a:stretch>
                      <a:fillRect/>
                    </a:stretch>
                  </pic:blipFill>
                  <pic:spPr>
                    <a:xfrm>
                      <a:off x="0" y="0"/>
                      <a:ext cx="4549789" cy="3660095"/>
                    </a:xfrm>
                    <a:prstGeom prst="rect">
                      <a:avLst/>
                    </a:prstGeom>
                  </pic:spPr>
                </pic:pic>
              </a:graphicData>
            </a:graphic>
          </wp:inline>
        </w:drawing>
      </w:r>
    </w:p>
    <w:p w14:paraId="11339C63" w14:textId="77777777" w:rsidR="003103F3" w:rsidRDefault="003103F3"/>
    <w:p w14:paraId="08AD72AB" w14:textId="4164DD0B" w:rsidR="003103F3" w:rsidRDefault="003103F3">
      <w:r>
        <w:rPr>
          <w:noProof/>
        </w:rPr>
        <w:drawing>
          <wp:inline distT="0" distB="0" distL="0" distR="0" wp14:anchorId="664B6D0B" wp14:editId="6047D228">
            <wp:extent cx="5731510" cy="4526915"/>
            <wp:effectExtent l="0" t="0" r="2540" b="6985"/>
            <wp:docPr id="1375163506" name="Picture 2" descr="p200191e6g14_220001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200191e6g14_220001vp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526915"/>
                    </a:xfrm>
                    <a:prstGeom prst="rect">
                      <a:avLst/>
                    </a:prstGeom>
                    <a:noFill/>
                    <a:ln>
                      <a:noFill/>
                    </a:ln>
                  </pic:spPr>
                </pic:pic>
              </a:graphicData>
            </a:graphic>
          </wp:inline>
        </w:drawing>
      </w:r>
    </w:p>
    <w:p w14:paraId="1D372D8D" w14:textId="77777777" w:rsidR="00FB24C1" w:rsidRDefault="00BA1363">
      <w:r w:rsidRPr="00BA1363">
        <w:lastRenderedPageBreak/>
        <w:t xml:space="preserve">Table 14.3 Design parameters for activated sludge processes (from Metcalf &amp; Eddy, Inc., Wastewater Engineering: Treatment and Reuse, 4th Ed., R. </w:t>
      </w:r>
      <w:proofErr w:type="spellStart"/>
      <w:r w:rsidRPr="00BA1363">
        <w:t>Tchobanoglous</w:t>
      </w:r>
      <w:proofErr w:type="spellEnd"/>
      <w:r w:rsidRPr="00BA1363">
        <w:t xml:space="preserve"> [Ed.], Copyright © 2003, with permission from the McGraw-Hill Companies).</w:t>
      </w:r>
      <w:r w:rsidRPr="00BA1363">
        <w:rPr>
          <w:rFonts w:ascii="Roboto" w:hAnsi="Roboto"/>
          <w:color w:val="363636"/>
          <w:sz w:val="21"/>
          <w:szCs w:val="21"/>
          <w:shd w:val="clear" w:color="auto" w:fill="FFFFFF"/>
        </w:rPr>
        <w:t xml:space="preserve"> </w:t>
      </w:r>
      <w:r w:rsidRPr="00BA1363">
        <w:t xml:space="preserve">Water Environment Federation. 2010. </w:t>
      </w:r>
    </w:p>
    <w:p w14:paraId="1724DF77" w14:textId="445C1FA7" w:rsidR="00BA1363" w:rsidRDefault="00BA1363">
      <w:r w:rsidRPr="00BA1363">
        <w:t>“PROCESS CONFIGURATIONS AND TYPES.” Chap. 2.0 in </w:t>
      </w:r>
      <w:r w:rsidRPr="00BA1363">
        <w:rPr>
          <w:i/>
          <w:iCs/>
        </w:rPr>
        <w:t>Design of Municipal Wastewater Treatment Plants: WEF Manual of Practice No. 8 ASCE Manuals and Reports on Engineering Practice No. 76, Fifth Edition</w:t>
      </w:r>
      <w:r w:rsidRPr="00BA1363">
        <w:t xml:space="preserve">. Fifth. New York, Chicago, San Francisco, Lisbon, London, Madrid, Mexico City, Milan, New Delhi, San Juan, Seoul, Singapore, Sydney, </w:t>
      </w:r>
      <w:proofErr w:type="spellStart"/>
      <w:r w:rsidRPr="00BA1363">
        <w:t>TorontoNew</w:t>
      </w:r>
      <w:proofErr w:type="spellEnd"/>
      <w:r w:rsidRPr="00BA1363">
        <w:t xml:space="preserve"> </w:t>
      </w:r>
      <w:proofErr w:type="spellStart"/>
      <w:r w:rsidRPr="00BA1363">
        <w:t>YorkChicagoSan</w:t>
      </w:r>
      <w:proofErr w:type="spellEnd"/>
      <w:r w:rsidRPr="00BA1363">
        <w:t xml:space="preserve"> </w:t>
      </w:r>
      <w:proofErr w:type="spellStart"/>
      <w:r w:rsidRPr="00BA1363">
        <w:t>FranciscoLisbonLondonMadridMexico</w:t>
      </w:r>
      <w:proofErr w:type="spellEnd"/>
      <w:r w:rsidRPr="00BA1363">
        <w:t xml:space="preserve"> </w:t>
      </w:r>
      <w:proofErr w:type="spellStart"/>
      <w:r w:rsidRPr="00BA1363">
        <w:t>CityMilanNew</w:t>
      </w:r>
      <w:proofErr w:type="spellEnd"/>
      <w:r w:rsidRPr="00BA1363">
        <w:t xml:space="preserve"> </w:t>
      </w:r>
      <w:proofErr w:type="spellStart"/>
      <w:r w:rsidRPr="00BA1363">
        <w:t>DelhiSan</w:t>
      </w:r>
      <w:proofErr w:type="spellEnd"/>
      <w:r w:rsidRPr="00BA1363">
        <w:t xml:space="preserve"> </w:t>
      </w:r>
      <w:proofErr w:type="spellStart"/>
      <w:r w:rsidRPr="00BA1363">
        <w:t>JuanSeoulSingaporeSydneyToronto</w:t>
      </w:r>
      <w:proofErr w:type="spellEnd"/>
      <w:r w:rsidRPr="00BA1363">
        <w:t xml:space="preserve">: McGraw-Hill Education. </w:t>
      </w:r>
      <w:hyperlink r:id="rId16" w:history="1">
        <w:r w:rsidRPr="00E53710">
          <w:rPr>
            <w:rStyle w:val="Hyperlink"/>
          </w:rPr>
          <w:t>https://www.accessengineeringlibrary.com/con</w:t>
        </w:r>
        <w:r w:rsidRPr="00E53710">
          <w:rPr>
            <w:rStyle w:val="Hyperlink"/>
          </w:rPr>
          <w:t>t</w:t>
        </w:r>
        <w:r w:rsidRPr="00E53710">
          <w:rPr>
            <w:rStyle w:val="Hyperlink"/>
          </w:rPr>
          <w:t>ent/book/9780071663588/toc-chapter/chapter14/section/section7</w:t>
        </w:r>
      </w:hyperlink>
    </w:p>
    <w:p w14:paraId="1A078C7A" w14:textId="77777777" w:rsidR="00BA1363" w:rsidRDefault="00BA1363"/>
    <w:p w14:paraId="0F325835" w14:textId="52920BA7" w:rsidR="00BA1363" w:rsidRDefault="00F26827">
      <w:r>
        <w:rPr>
          <w:noProof/>
        </w:rPr>
        <w:drawing>
          <wp:inline distT="0" distB="0" distL="0" distR="0" wp14:anchorId="47D5F3BD" wp14:editId="24FC52FD">
            <wp:extent cx="5731510" cy="2679065"/>
            <wp:effectExtent l="0" t="0" r="2540" b="6985"/>
            <wp:docPr id="1924455931" name="Picture 3" descr="p200191e6g14_230001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200191e6g14_230001vp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79065"/>
                    </a:xfrm>
                    <a:prstGeom prst="rect">
                      <a:avLst/>
                    </a:prstGeom>
                    <a:noFill/>
                    <a:ln>
                      <a:noFill/>
                    </a:ln>
                  </pic:spPr>
                </pic:pic>
              </a:graphicData>
            </a:graphic>
          </wp:inline>
        </w:drawing>
      </w:r>
    </w:p>
    <w:p w14:paraId="17C567B0" w14:textId="77777777" w:rsidR="002A4684" w:rsidRDefault="002A4684">
      <w:pPr>
        <w:rPr>
          <w:noProof/>
        </w:rPr>
      </w:pPr>
    </w:p>
    <w:p w14:paraId="091D4CA9" w14:textId="77777777" w:rsidR="002A4684" w:rsidRDefault="002A4684">
      <w:pPr>
        <w:rPr>
          <w:noProof/>
        </w:rPr>
      </w:pPr>
    </w:p>
    <w:p w14:paraId="1B01CB0C" w14:textId="378F59EA" w:rsidR="002A4684" w:rsidRDefault="002A4684">
      <w:pPr>
        <w:rPr>
          <w:noProof/>
        </w:rPr>
      </w:pPr>
    </w:p>
    <w:p w14:paraId="1469D435" w14:textId="77777777" w:rsidR="002A4684" w:rsidRDefault="002A4684">
      <w:pPr>
        <w:rPr>
          <w:noProof/>
        </w:rPr>
      </w:pPr>
    </w:p>
    <w:p w14:paraId="45AD2A84" w14:textId="094FD160" w:rsidR="00BA1363" w:rsidRDefault="00BA1363"/>
    <w:p w14:paraId="58BE0708" w14:textId="77777777" w:rsidR="002A4684" w:rsidRDefault="002A4684"/>
    <w:p w14:paraId="6CBF3A73" w14:textId="2DF1DF32" w:rsidR="00672A50" w:rsidRDefault="00672A50" w:rsidP="00672A50"/>
    <w:p w14:paraId="75CA9030" w14:textId="77777777" w:rsidR="00CA37F3" w:rsidRDefault="00CA37F3" w:rsidP="00672A50"/>
    <w:p w14:paraId="71C3A83E" w14:textId="1E0C84B2" w:rsidR="00AC78E4" w:rsidRDefault="00CF08F2" w:rsidP="00672A50">
      <w:r w:rsidRPr="00CF08F2">
        <w:rPr>
          <w:noProof/>
        </w:rPr>
        <w:lastRenderedPageBreak/>
        <w:drawing>
          <wp:inline distT="0" distB="0" distL="0" distR="0" wp14:anchorId="614B716F" wp14:editId="2A8B7AC1">
            <wp:extent cx="5731510" cy="3632835"/>
            <wp:effectExtent l="0" t="0" r="2540" b="5715"/>
            <wp:docPr id="32626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62383" name=""/>
                    <pic:cNvPicPr/>
                  </pic:nvPicPr>
                  <pic:blipFill>
                    <a:blip r:embed="rId18"/>
                    <a:stretch>
                      <a:fillRect/>
                    </a:stretch>
                  </pic:blipFill>
                  <pic:spPr>
                    <a:xfrm>
                      <a:off x="0" y="0"/>
                      <a:ext cx="5731510" cy="3632835"/>
                    </a:xfrm>
                    <a:prstGeom prst="rect">
                      <a:avLst/>
                    </a:prstGeom>
                  </pic:spPr>
                </pic:pic>
              </a:graphicData>
            </a:graphic>
          </wp:inline>
        </w:drawing>
      </w:r>
    </w:p>
    <w:p w14:paraId="15D0E18F" w14:textId="795EB2D4" w:rsidR="00D46936" w:rsidRDefault="00D46936" w:rsidP="00672A50">
      <w:r w:rsidRPr="00D46936">
        <w:rPr>
          <w:noProof/>
        </w:rPr>
        <w:drawing>
          <wp:inline distT="0" distB="0" distL="0" distR="0" wp14:anchorId="40FF67CD" wp14:editId="5E34156C">
            <wp:extent cx="5731510" cy="3415030"/>
            <wp:effectExtent l="0" t="0" r="2540" b="0"/>
            <wp:docPr id="1041371730"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71730" name="Picture 1" descr="A screenshot of a data sheet&#10;&#10;AI-generated content may be incorrect."/>
                    <pic:cNvPicPr/>
                  </pic:nvPicPr>
                  <pic:blipFill>
                    <a:blip r:embed="rId19"/>
                    <a:stretch>
                      <a:fillRect/>
                    </a:stretch>
                  </pic:blipFill>
                  <pic:spPr>
                    <a:xfrm>
                      <a:off x="0" y="0"/>
                      <a:ext cx="5731510" cy="3415030"/>
                    </a:xfrm>
                    <a:prstGeom prst="rect">
                      <a:avLst/>
                    </a:prstGeom>
                  </pic:spPr>
                </pic:pic>
              </a:graphicData>
            </a:graphic>
          </wp:inline>
        </w:drawing>
      </w:r>
    </w:p>
    <w:p w14:paraId="5FB14D7C" w14:textId="77777777" w:rsidR="00D46936" w:rsidRDefault="00D46936" w:rsidP="00D46936">
      <w:r w:rsidRPr="00D46936">
        <w:t>Design of Water Resource Recovery Facilities, 6th Edition</w:t>
      </w:r>
    </w:p>
    <w:p w14:paraId="1089453F" w14:textId="77777777" w:rsidR="002521B3" w:rsidRDefault="002521B3" w:rsidP="00D46936"/>
    <w:p w14:paraId="0C8907B1" w14:textId="6EDA9E6B" w:rsidR="002521B3" w:rsidRDefault="002521B3" w:rsidP="00D46936">
      <w:r w:rsidRPr="002521B3">
        <w:rPr>
          <w:noProof/>
        </w:rPr>
        <w:lastRenderedPageBreak/>
        <w:drawing>
          <wp:inline distT="0" distB="0" distL="0" distR="0" wp14:anchorId="53FC530D" wp14:editId="4AADDA3D">
            <wp:extent cx="5731510" cy="1956435"/>
            <wp:effectExtent l="0" t="0" r="2540" b="5715"/>
            <wp:docPr id="1083743659" name="Picture 1" descr="A close-up of a list of solid materi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43659" name="Picture 1" descr="A close-up of a list of solid materials&#10;&#10;AI-generated content may be incorrect."/>
                    <pic:cNvPicPr/>
                  </pic:nvPicPr>
                  <pic:blipFill>
                    <a:blip r:embed="rId20"/>
                    <a:stretch>
                      <a:fillRect/>
                    </a:stretch>
                  </pic:blipFill>
                  <pic:spPr>
                    <a:xfrm>
                      <a:off x="0" y="0"/>
                      <a:ext cx="5731510" cy="1956435"/>
                    </a:xfrm>
                    <a:prstGeom prst="rect">
                      <a:avLst/>
                    </a:prstGeom>
                  </pic:spPr>
                </pic:pic>
              </a:graphicData>
            </a:graphic>
          </wp:inline>
        </w:drawing>
      </w:r>
    </w:p>
    <w:p w14:paraId="1153EDE3" w14:textId="77777777" w:rsidR="00785E9C" w:rsidRDefault="00785E9C" w:rsidP="00D46936"/>
    <w:p w14:paraId="4F81D017" w14:textId="6E0EF96C" w:rsidR="00785E9C" w:rsidRDefault="00785E9C" w:rsidP="00D46936">
      <w:r w:rsidRPr="00785E9C">
        <w:rPr>
          <w:noProof/>
        </w:rPr>
        <w:drawing>
          <wp:inline distT="0" distB="0" distL="0" distR="0" wp14:anchorId="4F839081" wp14:editId="784FB100">
            <wp:extent cx="5731510" cy="3887470"/>
            <wp:effectExtent l="0" t="0" r="2540" b="0"/>
            <wp:docPr id="167506927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69277" name="Picture 1" descr="A diagram of a flowchart&#10;&#10;AI-generated content may be incorrect."/>
                    <pic:cNvPicPr/>
                  </pic:nvPicPr>
                  <pic:blipFill>
                    <a:blip r:embed="rId21"/>
                    <a:stretch>
                      <a:fillRect/>
                    </a:stretch>
                  </pic:blipFill>
                  <pic:spPr>
                    <a:xfrm>
                      <a:off x="0" y="0"/>
                      <a:ext cx="5731510" cy="3887470"/>
                    </a:xfrm>
                    <a:prstGeom prst="rect">
                      <a:avLst/>
                    </a:prstGeom>
                  </pic:spPr>
                </pic:pic>
              </a:graphicData>
            </a:graphic>
          </wp:inline>
        </w:drawing>
      </w:r>
    </w:p>
    <w:p w14:paraId="1DB9612C" w14:textId="6FED251F" w:rsidR="002979B4" w:rsidRDefault="002979B4" w:rsidP="00D46936">
      <w:r w:rsidRPr="002979B4">
        <w:drawing>
          <wp:inline distT="0" distB="0" distL="0" distR="0" wp14:anchorId="77B5FA37" wp14:editId="011A209B">
            <wp:extent cx="5731510" cy="911860"/>
            <wp:effectExtent l="0" t="0" r="2540" b="2540"/>
            <wp:docPr id="29234114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41143" name="Picture 1" descr="A black text on a white background&#10;&#10;AI-generated content may be incorrect."/>
                    <pic:cNvPicPr/>
                  </pic:nvPicPr>
                  <pic:blipFill>
                    <a:blip r:embed="rId22"/>
                    <a:stretch>
                      <a:fillRect/>
                    </a:stretch>
                  </pic:blipFill>
                  <pic:spPr>
                    <a:xfrm>
                      <a:off x="0" y="0"/>
                      <a:ext cx="5731510" cy="911860"/>
                    </a:xfrm>
                    <a:prstGeom prst="rect">
                      <a:avLst/>
                    </a:prstGeom>
                  </pic:spPr>
                </pic:pic>
              </a:graphicData>
            </a:graphic>
          </wp:inline>
        </w:drawing>
      </w:r>
    </w:p>
    <w:p w14:paraId="46B982AE" w14:textId="77777777" w:rsidR="007B60AC" w:rsidRDefault="007B60AC" w:rsidP="00D46936"/>
    <w:p w14:paraId="3C3B15CA" w14:textId="024D6E3D" w:rsidR="007B60AC" w:rsidRDefault="007B60AC" w:rsidP="00D46936">
      <w:r w:rsidRPr="007B60AC">
        <w:rPr>
          <w:noProof/>
        </w:rPr>
        <w:lastRenderedPageBreak/>
        <w:drawing>
          <wp:inline distT="0" distB="0" distL="0" distR="0" wp14:anchorId="650E2303" wp14:editId="1348F650">
            <wp:extent cx="5731510" cy="2545080"/>
            <wp:effectExtent l="0" t="0" r="2540" b="7620"/>
            <wp:docPr id="1246178994" name="Picture 1"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78994" name="Picture 1" descr="A graph of a temperature&#10;&#10;AI-generated content may be incorrect."/>
                    <pic:cNvPicPr/>
                  </pic:nvPicPr>
                  <pic:blipFill>
                    <a:blip r:embed="rId23"/>
                    <a:stretch>
                      <a:fillRect/>
                    </a:stretch>
                  </pic:blipFill>
                  <pic:spPr>
                    <a:xfrm>
                      <a:off x="0" y="0"/>
                      <a:ext cx="5731510" cy="2545080"/>
                    </a:xfrm>
                    <a:prstGeom prst="rect">
                      <a:avLst/>
                    </a:prstGeom>
                  </pic:spPr>
                </pic:pic>
              </a:graphicData>
            </a:graphic>
          </wp:inline>
        </w:drawing>
      </w:r>
    </w:p>
    <w:p w14:paraId="25337901" w14:textId="77777777" w:rsidR="006C37BB" w:rsidRDefault="006C37BB" w:rsidP="00D46936"/>
    <w:p w14:paraId="5456D992" w14:textId="26D3E651" w:rsidR="006C37BB" w:rsidRDefault="006C37BB" w:rsidP="00D46936">
      <w:r w:rsidRPr="006C37BB">
        <w:drawing>
          <wp:inline distT="0" distB="0" distL="0" distR="0" wp14:anchorId="2A377CA8" wp14:editId="35EC83C5">
            <wp:extent cx="5731510" cy="3761740"/>
            <wp:effectExtent l="0" t="0" r="2540" b="0"/>
            <wp:docPr id="1515710913"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10913" name="Picture 1" descr="A close-up of a chart&#10;&#10;AI-generated content may be incorrect."/>
                    <pic:cNvPicPr/>
                  </pic:nvPicPr>
                  <pic:blipFill>
                    <a:blip r:embed="rId24"/>
                    <a:stretch>
                      <a:fillRect/>
                    </a:stretch>
                  </pic:blipFill>
                  <pic:spPr>
                    <a:xfrm>
                      <a:off x="0" y="0"/>
                      <a:ext cx="5731510" cy="3761740"/>
                    </a:xfrm>
                    <a:prstGeom prst="rect">
                      <a:avLst/>
                    </a:prstGeom>
                  </pic:spPr>
                </pic:pic>
              </a:graphicData>
            </a:graphic>
          </wp:inline>
        </w:drawing>
      </w:r>
    </w:p>
    <w:p w14:paraId="3AB4FB41" w14:textId="200DE900" w:rsidR="005E2665" w:rsidRDefault="005E2665" w:rsidP="00D46936">
      <w:r>
        <w:t>Tiempo</w:t>
      </w:r>
    </w:p>
    <w:p w14:paraId="77ADD957" w14:textId="77777777" w:rsidR="00D46936" w:rsidRDefault="00D46936" w:rsidP="00D46936"/>
    <w:p w14:paraId="31100E31" w14:textId="77777777" w:rsidR="00D45A6C" w:rsidRDefault="00D45A6C" w:rsidP="00D45A6C">
      <w:r>
        <w:t>2 Preliminary Treatment</w:t>
      </w:r>
    </w:p>
    <w:p w14:paraId="4FFD2EB0" w14:textId="77777777" w:rsidR="00D45A6C" w:rsidRDefault="00D45A6C" w:rsidP="00D45A6C">
      <w:r>
        <w:t>2.1 Facility Types</w:t>
      </w:r>
    </w:p>
    <w:p w14:paraId="3EF4FB51" w14:textId="77777777" w:rsidR="00D45A6C" w:rsidRDefault="00D45A6C" w:rsidP="00D45A6C">
      <w:r>
        <w:t xml:space="preserve">Coarse screens designed to retain gross pollutants greater than 10 mm are proposed to effectively protect downstream treatment processes. These screens, commonly employed in wastewater treatment plants (WWTPs), efficiently remove large solids, rags, and debris (Davis, </w:t>
      </w:r>
      <w:r>
        <w:lastRenderedPageBreak/>
        <w:t>2010). However, it is noted that their contribution to the removal of biochemical oxygen demand (BOD) is considered negligible.</w:t>
      </w:r>
    </w:p>
    <w:p w14:paraId="37FF6E48" w14:textId="77777777" w:rsidR="00D45A6C" w:rsidRDefault="00D45A6C" w:rsidP="00D45A6C">
      <w:r>
        <w:t>Each mechanical screen unit should be installed in its own dedicated channel, facilitating isolation for maintenance or emergency purposes. Additionally, vortex grit chambers are proposed to remove grit particles up to 100 mm. This inclusion significantly reduces grit accumulation in downstream units and prevents sediment buildup within the equalisation basin, thus enhancing the overall reliability and effectiveness of subsequent treatment processes.</w:t>
      </w:r>
    </w:p>
    <w:p w14:paraId="0885EF26" w14:textId="02997D02" w:rsidR="00222EFB" w:rsidRDefault="008E6958" w:rsidP="00222EFB">
      <w:pPr>
        <w:jc w:val="center"/>
      </w:pPr>
      <w:r>
        <w:t xml:space="preserve"> </w:t>
      </w:r>
    </w:p>
    <w:p w14:paraId="13E6AFFE" w14:textId="77777777" w:rsidR="00D45A6C" w:rsidRDefault="00D45A6C" w:rsidP="00D45A6C">
      <w:r>
        <w:t>2.2 Screens Design</w:t>
      </w:r>
    </w:p>
    <w:p w14:paraId="13FA53D4" w14:textId="77777777" w:rsidR="00D45A6C" w:rsidRDefault="00D45A6C" w:rsidP="00D45A6C">
      <w:r>
        <w:t>Calculation Details and Parameter Justification:</w:t>
      </w:r>
    </w:p>
    <w:p w14:paraId="03F447E4" w14:textId="77777777" w:rsidR="00D45A6C" w:rsidRDefault="00D45A6C" w:rsidP="00D45A6C">
      <w:r>
        <w:t>According to Davis (2010), the channel approach velocity upstream of the screens should be at least 0.4 m/s to minimize solids deposition. Conversely, the maximum velocity through the screens should not exceed 0.9 m/s at peak flow conditions, to avoid forcing debris through the bars and maintain screening effectiveness.</w:t>
      </w:r>
    </w:p>
    <w:p w14:paraId="5E1B920E" w14:textId="77777777" w:rsidR="00D45A6C" w:rsidRDefault="00D45A6C" w:rsidP="00D45A6C">
      <w:r>
        <w:t>The channel dimensions have therefore been carefully selected to comply with these recommended minimum and maximum velocities. Specifically, calculations were performed to ensure operational velocity remains within these constraints under the expected peak flow conditions.</w:t>
      </w:r>
    </w:p>
    <w:p w14:paraId="57583AF8" w14:textId="77777777" w:rsidR="00D45A6C" w:rsidRDefault="00D45A6C" w:rsidP="00D45A6C">
      <w:r>
        <w:t>A 50% blockage condition at peak flow is assumed for design calculations. This conservative approach allows sufficient margin to ensure operational reliability and gives operators adequate time to perform maintenance before significant performance issues occur.</w:t>
      </w:r>
    </w:p>
    <w:p w14:paraId="6A46510F" w14:textId="77777777" w:rsidR="00D45A6C" w:rsidRDefault="00D45A6C" w:rsidP="00D45A6C">
      <w:r>
        <w:t>Operational Considerations:</w:t>
      </w:r>
    </w:p>
    <w:p w14:paraId="77D69058" w14:textId="77777777" w:rsidR="00D45A6C" w:rsidRDefault="00D45A6C" w:rsidP="00D45A6C">
      <w:r>
        <w:t>Velocity Selection:</w:t>
      </w:r>
    </w:p>
    <w:p w14:paraId="7D6C79B9" w14:textId="285F15F4" w:rsidR="00D45A6C" w:rsidRDefault="00D45A6C" w:rsidP="00D45A6C">
      <w:r>
        <w:t xml:space="preserve">A target velocity of </w:t>
      </w:r>
      <w:r w:rsidR="00901D8E">
        <w:t xml:space="preserve">0.7 </w:t>
      </w:r>
      <w:r>
        <w:t>-</w:t>
      </w:r>
      <w:r w:rsidR="00901D8E">
        <w:t xml:space="preserve"> </w:t>
      </w:r>
      <w:r>
        <w:t>0.9 m/s at peak flows is ideal for operational balance, ensuring effective screenings removal without excessive turbulence or debris bypass.</w:t>
      </w:r>
    </w:p>
    <w:p w14:paraId="5BD4F8C5" w14:textId="77777777" w:rsidR="00D45A6C" w:rsidRDefault="00D45A6C" w:rsidP="00D45A6C">
      <w:r>
        <w:t>Channel Dimensioning:</w:t>
      </w:r>
    </w:p>
    <w:p w14:paraId="145874C9" w14:textId="77777777" w:rsidR="00D45A6C" w:rsidRDefault="00D45A6C" w:rsidP="00D45A6C">
      <w:r>
        <w:t>Channel width and depth are sized to maintain appropriate flow velocities under varying conditions, considering future growth scenarios and possible peak events.</w:t>
      </w:r>
    </w:p>
    <w:p w14:paraId="2A699B5C" w14:textId="77777777" w:rsidR="00D45A6C" w:rsidRDefault="00D45A6C" w:rsidP="00D45A6C">
      <w:r>
        <w:t>Maintenance Implications:</w:t>
      </w:r>
    </w:p>
    <w:p w14:paraId="61B42BCC" w14:textId="77777777" w:rsidR="0017461B" w:rsidRDefault="00D45A6C" w:rsidP="00D45A6C">
      <w:r>
        <w:t>Screens should be easily accessible and designed for rapid maintenance response. Scheduled inspections and routine cleaning are required, particularly following high flow events.</w:t>
      </w:r>
    </w:p>
    <w:p w14:paraId="701E20D8" w14:textId="58011EBA" w:rsidR="007F3ABC" w:rsidRDefault="007F3ABC" w:rsidP="00D45A6C">
      <w:r w:rsidRPr="000F3763">
        <w:t xml:space="preserve">2.3 Equalisation Basin Purpose and basic dimensions (reference to primary clarifier calculations). </w:t>
      </w:r>
    </w:p>
    <w:p w14:paraId="6C4418F5" w14:textId="4D15C29E" w:rsidR="00493753" w:rsidRPr="00493753" w:rsidRDefault="00493753" w:rsidP="00493753">
      <w:r w:rsidRPr="00493753">
        <w:t xml:space="preserve">The equalisation basin was designed to minimise flow fluctuations to downstream treatment units, enhancing overall plant stability and performance. Initially, the basin volume calculated by capturing all inflows exceeding the projected average daily flow resulted in an impractical tank size (~24,000 m³). Therefore, a new peak flow of 138,626 m³/day was established, based on </w:t>
      </w:r>
      <w:r w:rsidRPr="00493753">
        <w:lastRenderedPageBreak/>
        <w:t>the maximum capacity of the downstream primary treatment facilities</w:t>
      </w:r>
      <w:r w:rsidR="00921011">
        <w:t>. (See section primary treatment)</w:t>
      </w:r>
    </w:p>
    <w:p w14:paraId="5C1C9CD5" w14:textId="1566703A" w:rsidR="000E3D50" w:rsidRDefault="00493753" w:rsidP="00493753">
      <w:r w:rsidRPr="00493753">
        <w:t>This revised approach operates near-average flow rates for most hours of the day. During peak inflow periods (</w:t>
      </w:r>
      <w:r w:rsidRPr="00493753">
        <w:t>from</w:t>
      </w:r>
      <w:r w:rsidRPr="00493753">
        <w:t xml:space="preserve"> 3 pm to 9 pm), inflows exceeding this new peak flow rate are diverted to the equalisation basin. In low-demand hours, stored wastewater is returned to maintain </w:t>
      </w:r>
      <w:r w:rsidR="000E3D50">
        <w:t>less variable</w:t>
      </w:r>
      <w:r w:rsidRPr="00493753">
        <w:t xml:space="preserve"> flow to the </w:t>
      </w:r>
      <w:r w:rsidR="000E3D50">
        <w:t>downstream</w:t>
      </w:r>
      <w:r w:rsidRPr="00493753">
        <w:t xml:space="preserve"> </w:t>
      </w:r>
      <w:r w:rsidR="000E3D50">
        <w:t>processes</w:t>
      </w:r>
      <w:r w:rsidRPr="00493753">
        <w:t xml:space="preserve">. This method </w:t>
      </w:r>
      <w:r w:rsidRPr="00493753">
        <w:t>reduced</w:t>
      </w:r>
      <w:r w:rsidRPr="00493753">
        <w:t xml:space="preserve"> the required equalisation volume and significantly reduced the </w:t>
      </w:r>
      <w:r w:rsidR="00D373F7">
        <w:t>peak</w:t>
      </w:r>
      <w:r w:rsidRPr="00493753">
        <w:t xml:space="preserve"> flows. After recalculating using this approach, the required equalisation volume was </w:t>
      </w:r>
      <w:r w:rsidR="000E3D50" w:rsidRPr="00493753">
        <w:t>smaller</w:t>
      </w:r>
      <w:r w:rsidR="00D373F7">
        <w:t xml:space="preserve">, although </w:t>
      </w:r>
      <w:r w:rsidR="00B81E26">
        <w:t xml:space="preserve">this </w:t>
      </w:r>
      <w:r w:rsidR="00746724">
        <w:t>requires</w:t>
      </w:r>
      <w:r w:rsidR="00B81E26">
        <w:t xml:space="preserve"> </w:t>
      </w:r>
      <w:r w:rsidR="00746724">
        <w:t xml:space="preserve">extra </w:t>
      </w:r>
      <w:r w:rsidRPr="00493753">
        <w:t>operational</w:t>
      </w:r>
      <w:r w:rsidR="00B81E26">
        <w:t xml:space="preserve"> </w:t>
      </w:r>
      <w:r w:rsidR="00746724">
        <w:t>control</w:t>
      </w:r>
      <w:r w:rsidRPr="00493753">
        <w:t xml:space="preserve">, providing </w:t>
      </w:r>
      <w:r w:rsidR="005B1182">
        <w:t>narrower variation in the</w:t>
      </w:r>
      <w:r w:rsidRPr="00493753">
        <w:t xml:space="preserve"> hydraulic regime for downstream processes.</w:t>
      </w:r>
    </w:p>
    <w:p w14:paraId="3500C7F7" w14:textId="77777777" w:rsidR="00D05F7A" w:rsidRDefault="007F7130" w:rsidP="00D05F7A">
      <w:pPr>
        <w:rPr>
          <w:noProof/>
        </w:rPr>
      </w:pPr>
      <w:r>
        <w:t xml:space="preserve">This equalisation basin </w:t>
      </w:r>
      <w:r w:rsidR="009039C9">
        <w:t>requires aeration so as to prevent odours and solids deposition. The</w:t>
      </w:r>
      <w:r w:rsidR="000E3D50">
        <w:t xml:space="preserve"> proposed </w:t>
      </w:r>
      <w:r w:rsidR="000A3273">
        <w:t xml:space="preserve">equalisation </w:t>
      </w:r>
      <w:r w:rsidR="001F3AAA">
        <w:t xml:space="preserve">is an off-line </w:t>
      </w:r>
      <w:r w:rsidR="000A3273">
        <w:t xml:space="preserve">basin </w:t>
      </w:r>
      <w:r w:rsidR="001F3AAA">
        <w:t>as seen in the diagram below</w:t>
      </w:r>
      <w:r w:rsidR="00A366F2">
        <w:t>:</w:t>
      </w:r>
      <w:r w:rsidR="00D05F7A" w:rsidRPr="00D05F7A">
        <w:rPr>
          <w:noProof/>
        </w:rPr>
        <w:t xml:space="preserve"> </w:t>
      </w:r>
    </w:p>
    <w:p w14:paraId="20246AC5" w14:textId="4C1AA38A" w:rsidR="000E3D50" w:rsidRDefault="00D05F7A" w:rsidP="00D05F7A">
      <w:pPr>
        <w:jc w:val="center"/>
      </w:pPr>
      <w:r w:rsidRPr="00D05F7A">
        <w:drawing>
          <wp:inline distT="0" distB="0" distL="0" distR="0" wp14:anchorId="43DBE592" wp14:editId="04DE5A5D">
            <wp:extent cx="3948039" cy="1828800"/>
            <wp:effectExtent l="0" t="0" r="0" b="0"/>
            <wp:docPr id="100448372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83729" name="Picture 1" descr="A diagram of a flowchart&#10;&#10;AI-generated content may be incorrect."/>
                    <pic:cNvPicPr/>
                  </pic:nvPicPr>
                  <pic:blipFill>
                    <a:blip r:embed="rId25"/>
                    <a:stretch>
                      <a:fillRect/>
                    </a:stretch>
                  </pic:blipFill>
                  <pic:spPr>
                    <a:xfrm>
                      <a:off x="0" y="0"/>
                      <a:ext cx="3979933" cy="1843574"/>
                    </a:xfrm>
                    <a:prstGeom prst="rect">
                      <a:avLst/>
                    </a:prstGeom>
                  </pic:spPr>
                </pic:pic>
              </a:graphicData>
            </a:graphic>
          </wp:inline>
        </w:drawing>
      </w:r>
    </w:p>
    <w:p w14:paraId="0A30F643" w14:textId="30D3DAB5" w:rsidR="00D05F7A" w:rsidRPr="00493753" w:rsidRDefault="00D05F7A" w:rsidP="00D05F7A">
      <w:pPr>
        <w:jc w:val="center"/>
      </w:pPr>
      <w:r>
        <w:t>Off-line equalisation basin –adapted from</w:t>
      </w:r>
      <w:r w:rsidR="00574E61">
        <w:t xml:space="preserve"> </w:t>
      </w:r>
      <w:r w:rsidR="00574E61">
        <w:t>Fig 3-20</w:t>
      </w:r>
      <w:r w:rsidR="00574E61">
        <w:t xml:space="preserve">, </w:t>
      </w:r>
      <w:r>
        <w:t>Davis,2010</w:t>
      </w:r>
    </w:p>
    <w:p w14:paraId="6D3209A0" w14:textId="77777777" w:rsidR="007D7A05" w:rsidRDefault="007D7A05" w:rsidP="007D7A05">
      <w:r>
        <w:t>2.4 Protection Against Failure</w:t>
      </w:r>
    </w:p>
    <w:p w14:paraId="33A83F8E" w14:textId="153127DE" w:rsidR="007D7A05" w:rsidRDefault="007D7A05" w:rsidP="007D7A05">
      <w:r>
        <w:t>The preliminary treatment facilities incorporate redundancy and safety features to protect against failure scenarios and to ensure continuous operation</w:t>
      </w:r>
      <w:r w:rsidR="0044359D">
        <w:t xml:space="preserve">. </w:t>
      </w:r>
      <w:r w:rsidR="004569C4">
        <w:t>These recommendations</w:t>
      </w:r>
      <w:r w:rsidR="0044359D">
        <w:t xml:space="preserve"> are </w:t>
      </w:r>
      <w:r w:rsidR="007D4353">
        <w:t>described in Davis, 2010</w:t>
      </w:r>
      <w:r>
        <w:t>:</w:t>
      </w:r>
    </w:p>
    <w:p w14:paraId="4A34473D" w14:textId="77777777" w:rsidR="007D7A05" w:rsidRDefault="007D7A05" w:rsidP="007D7A05">
      <w:r>
        <w:t>Redundancy Measures:</w:t>
      </w:r>
    </w:p>
    <w:p w14:paraId="529DDCA1" w14:textId="77777777" w:rsidR="007D7A05" w:rsidRDefault="007D7A05" w:rsidP="007D7A05">
      <w:r>
        <w:t>An additional mechanically cleaned coarse screen and vortex grit chamber unit will be provided as backup units. This ensures operational continuity during periods when primary units are undergoing maintenance or experiencing overloading conditions.</w:t>
      </w:r>
    </w:p>
    <w:p w14:paraId="042CBD3B" w14:textId="26524652" w:rsidR="007D7A05" w:rsidRDefault="007D7A05" w:rsidP="007D7A05">
      <w:r>
        <w:t>Bypass Channels</w:t>
      </w:r>
      <w:r w:rsidR="00B320D0">
        <w:t xml:space="preserve"> and overflow</w:t>
      </w:r>
      <w:r>
        <w:t>:</w:t>
      </w:r>
    </w:p>
    <w:p w14:paraId="43643DBA" w14:textId="59F5962A" w:rsidR="007D7A05" w:rsidRPr="0094641B" w:rsidRDefault="007D7A05" w:rsidP="007D7A05">
      <w:r>
        <w:t>Dedicated bypass channels will be installed, allowing flows to bypass the primary screening and grit removal facilities</w:t>
      </w:r>
      <w:r w:rsidR="0094641B">
        <w:t xml:space="preserve"> as well as </w:t>
      </w:r>
      <w:r w:rsidR="00B320D0">
        <w:t xml:space="preserve">overflow </w:t>
      </w:r>
      <w:r w:rsidR="0094641B">
        <w:t>outlet should be provided for equalisation basin. These measures are useful</w:t>
      </w:r>
      <w:r w:rsidR="0094641B">
        <w:t xml:space="preserve"> in emergency situations, preventing hydraulic overload</w:t>
      </w:r>
    </w:p>
    <w:p w14:paraId="6FB3837D" w14:textId="77777777" w:rsidR="007D7A05" w:rsidRDefault="007D7A05" w:rsidP="007D7A05">
      <w:r>
        <w:t>Maintenance Accessibility:</w:t>
      </w:r>
    </w:p>
    <w:p w14:paraId="54C851B6" w14:textId="2BE82F7F" w:rsidR="007D7A05" w:rsidRDefault="007D7A05" w:rsidP="007D7A05">
      <w:r>
        <w:t>Screens</w:t>
      </w:r>
      <w:r w:rsidR="0094641B">
        <w:t xml:space="preserve">, </w:t>
      </w:r>
      <w:r>
        <w:t>grit chambers</w:t>
      </w:r>
      <w:r w:rsidR="0094641B">
        <w:t xml:space="preserve"> and equalisation basin</w:t>
      </w:r>
      <w:r>
        <w:t xml:space="preserve"> are designed with ease of access in mind, facilitating rapid maintenance and emergency interventions.</w:t>
      </w:r>
    </w:p>
    <w:p w14:paraId="54F43C53" w14:textId="77777777" w:rsidR="007D7A05" w:rsidRDefault="007D7A05" w:rsidP="007D7A05">
      <w:r>
        <w:t>Emergency Procedures and Alarms:</w:t>
      </w:r>
    </w:p>
    <w:p w14:paraId="01C0F520" w14:textId="38BB2820" w:rsidR="007F3ABC" w:rsidRPr="00F760BB" w:rsidRDefault="007D7A05" w:rsidP="007D7A05">
      <w:r>
        <w:lastRenderedPageBreak/>
        <w:t>An alarm system is designed to trigger when blockage levels reach 50% or if there is a sudden halt in mechanical operation. This proactive alert mechanism allows prompt operator intervention, minimizing risks of overflow or downstream process damage.</w:t>
      </w:r>
    </w:p>
    <w:p w14:paraId="41ADF4EB" w14:textId="291DCA41" w:rsidR="00F760BB" w:rsidRDefault="009B27E9" w:rsidP="00672A50">
      <w:r w:rsidRPr="009B27E9">
        <w:drawing>
          <wp:inline distT="0" distB="0" distL="0" distR="0" wp14:anchorId="76E4EB37" wp14:editId="02BB073B">
            <wp:extent cx="5731510" cy="3720465"/>
            <wp:effectExtent l="0" t="0" r="2540" b="0"/>
            <wp:docPr id="96456563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65632" name="Picture 1" descr="A diagram of a flowchart&#10;&#10;AI-generated content may be incorrect."/>
                    <pic:cNvPicPr/>
                  </pic:nvPicPr>
                  <pic:blipFill>
                    <a:blip r:embed="rId26"/>
                    <a:stretch>
                      <a:fillRect/>
                    </a:stretch>
                  </pic:blipFill>
                  <pic:spPr>
                    <a:xfrm>
                      <a:off x="0" y="0"/>
                      <a:ext cx="5731510" cy="3720465"/>
                    </a:xfrm>
                    <a:prstGeom prst="rect">
                      <a:avLst/>
                    </a:prstGeom>
                  </pic:spPr>
                </pic:pic>
              </a:graphicData>
            </a:graphic>
          </wp:inline>
        </w:drawing>
      </w:r>
    </w:p>
    <w:p w14:paraId="5963DBD6" w14:textId="77777777" w:rsidR="00764E73" w:rsidRDefault="00764E73" w:rsidP="00672A50"/>
    <w:p w14:paraId="71F3BD3B" w14:textId="77777777" w:rsidR="00764E73" w:rsidRDefault="00764E73" w:rsidP="00672A50"/>
    <w:p w14:paraId="204D1945" w14:textId="51E02C70" w:rsidR="00764E73" w:rsidRDefault="00764E73" w:rsidP="00764E73">
      <w:r>
        <w:t xml:space="preserve">4. Secondary Treatment </w:t>
      </w:r>
    </w:p>
    <w:p w14:paraId="48CF406F" w14:textId="77777777" w:rsidR="00764E73" w:rsidRDefault="00764E73" w:rsidP="00764E73">
      <w:r>
        <w:t>4.1 Facility Type</w:t>
      </w:r>
    </w:p>
    <w:p w14:paraId="51E7D065" w14:textId="77777777" w:rsidR="00764E73" w:rsidRDefault="00764E73" w:rsidP="00764E73">
      <w:r>
        <w:t>The Complete-Mix Activated Sludge (CMAS) process is selected for the secondary treatment stage, following guidelines from the Water Environment Federation (WEF, 2010). CMAS provides robust and consistent performance under fluctuating loads and conditions. Despite the process’s susceptibility to filamentous microbial growth, careful selection of operational parameters addresses this potential issue.</w:t>
      </w:r>
    </w:p>
    <w:p w14:paraId="45328603" w14:textId="77777777" w:rsidR="00764E73" w:rsidRDefault="00764E73" w:rsidP="00764E73"/>
    <w:p w14:paraId="3E4BFA54" w14:textId="77777777" w:rsidR="00764E73" w:rsidRDefault="00764E73" w:rsidP="00764E73">
      <w:r>
        <w:t>4.2 Influent Characterisation and Removal Requirements</w:t>
      </w:r>
    </w:p>
    <w:p w14:paraId="03CF4F2C" w14:textId="77777777" w:rsidR="00764E73" w:rsidRDefault="00764E73" w:rsidP="00764E73">
      <w:r>
        <w:t>The secondary treatment targets a 94.6% BOD₅ removal efficiency, achieving an effluent BOD₅ concentration of 14 mg/L. Thus, the influent concentration from primary clarification is calculated using:</w:t>
      </w:r>
    </w:p>
    <w:p w14:paraId="431CF89E" w14:textId="77777777" w:rsidR="00764E73" w:rsidRDefault="00764E73" w:rsidP="00764E73"/>
    <w:p w14:paraId="497A90A0" w14:textId="77777777" w:rsidR="00764E73" w:rsidRDefault="00764E73" w:rsidP="00764E73">
      <w:r>
        <w:t>(appropriate formula here; result: 259.26 mg/L)</w:t>
      </w:r>
    </w:p>
    <w:p w14:paraId="7E0B320C" w14:textId="77777777" w:rsidR="00764E73" w:rsidRDefault="00764E73" w:rsidP="00764E73"/>
    <w:p w14:paraId="0E8BF418" w14:textId="77777777" w:rsidR="00764E73" w:rsidRDefault="00764E73" w:rsidP="00764E73">
      <w:r>
        <w:lastRenderedPageBreak/>
        <w:t>4.3 Sludge Characteristics and Return Flow</w:t>
      </w:r>
    </w:p>
    <w:p w14:paraId="2A1FE867" w14:textId="77777777" w:rsidR="00764E73" w:rsidRDefault="00764E73" w:rsidP="00764E73">
      <w:r>
        <w:t>Wastewater temperature significantly affects activated sludge performance. A design temperature of 10 °C is chosen to represent critical winter conditions in Melbourne.</w:t>
      </w:r>
    </w:p>
    <w:p w14:paraId="25238D4A" w14:textId="77777777" w:rsidR="00764E73" w:rsidRDefault="00764E73" w:rsidP="00764E73"/>
    <w:p w14:paraId="5FF00980" w14:textId="77777777" w:rsidR="00764E73" w:rsidRDefault="00764E73" w:rsidP="00764E73">
      <w:r>
        <w:t>Mixed Liquor Suspended Solids (MLSS):</w:t>
      </w:r>
    </w:p>
    <w:p w14:paraId="16A9677E" w14:textId="77777777" w:rsidR="00764E73" w:rsidRDefault="00764E73" w:rsidP="00764E73">
      <w:r>
        <w:t>A value of 3,000 mg/L is selected from Metcalf &amp; Eddy (2014, Table 8-19) as appropriate for conventional activated sludge processes at low temperatures.</w:t>
      </w:r>
    </w:p>
    <w:p w14:paraId="7BF40724" w14:textId="77777777" w:rsidR="00764E73" w:rsidRDefault="00764E73" w:rsidP="00764E73"/>
    <w:p w14:paraId="5BC2DD06" w14:textId="77777777" w:rsidR="00764E73" w:rsidRDefault="00764E73" w:rsidP="00764E73">
      <w:r>
        <w:t>Sludge Volume Index (SVI):</w:t>
      </w:r>
    </w:p>
    <w:p w14:paraId="5DA60D37" w14:textId="77777777" w:rsidR="00764E73" w:rsidRDefault="00764E73" w:rsidP="00764E73">
      <w:r>
        <w:t>An SVI of 110 mL/g is adopted, promoting good sludge settling characteristics. This value is chosen to maintain approximately 50% filamentous microorganism content, fostering adequate flocculation and settling.</w:t>
      </w:r>
    </w:p>
    <w:p w14:paraId="4655CF3F" w14:textId="77777777" w:rsidR="00764E73" w:rsidRDefault="00764E73" w:rsidP="00764E73"/>
    <w:p w14:paraId="64FC7CAD" w14:textId="77777777" w:rsidR="00764E73" w:rsidRDefault="00764E73" w:rsidP="00764E73">
      <w:r>
        <w:t>Based on this SVI, the return sludge concentration (XR) and return sludge flow (Q&lt;sub&gt;R&lt;/sub&gt;) are calculated as follows:</w:t>
      </w:r>
    </w:p>
    <w:p w14:paraId="4547DC0D" w14:textId="77777777" w:rsidR="00764E73" w:rsidRDefault="00764E73" w:rsidP="00764E73"/>
    <w:p w14:paraId="70D1CB71" w14:textId="77777777" w:rsidR="00764E73" w:rsidRDefault="00764E73" w:rsidP="00764E73">
      <w:r>
        <w:t>(appropriate formulas here)</w:t>
      </w:r>
    </w:p>
    <w:p w14:paraId="3B769D65" w14:textId="77777777" w:rsidR="00764E73" w:rsidRDefault="00764E73" w:rsidP="00764E73"/>
    <w:p w14:paraId="50810288" w14:textId="77777777" w:rsidR="00764E73" w:rsidRDefault="00764E73" w:rsidP="00764E73">
      <w:r>
        <w:t>The resulting return sludge ratio (Q&lt;sub&gt;R&lt;/sub&gt;/Q) is verified within the recommended range (0.25–1.0) for CMAS processes (Metcalf &amp; Eddy, 2014).</w:t>
      </w:r>
    </w:p>
    <w:p w14:paraId="004B0941" w14:textId="77777777" w:rsidR="00764E73" w:rsidRDefault="00764E73" w:rsidP="00764E73"/>
    <w:p w14:paraId="59AEC107" w14:textId="77777777" w:rsidR="00764E73" w:rsidRDefault="00764E73" w:rsidP="00764E73">
      <w:r>
        <w:t>4.4 Aeration Tank Volume and Organic Loading</w:t>
      </w:r>
    </w:p>
    <w:p w14:paraId="20300F26" w14:textId="77777777" w:rsidR="00764E73" w:rsidRDefault="00764E73" w:rsidP="00764E73">
      <w:r>
        <w:t>Selecting the upper limit of the Food-to-Microorganism (F/M) ratio (0.4 d</w:t>
      </w:r>
      <w:r>
        <w:rPr>
          <w:rFonts w:ascii="Cambria Math" w:hAnsi="Cambria Math" w:cs="Cambria Math"/>
        </w:rPr>
        <w:t>⁻</w:t>
      </w:r>
      <w:r>
        <w:rPr>
          <w:rFonts w:ascii="Aptos" w:hAnsi="Aptos" w:cs="Aptos"/>
        </w:rPr>
        <w:t>¹</w:t>
      </w:r>
      <w:r>
        <w:t>, Metcalf &amp; Eddy, 2014) minimises the required aeration tank volume. The aeration volume and hydraulic residence time (HRT) are calculated using:</w:t>
      </w:r>
    </w:p>
    <w:p w14:paraId="6EC1F25A" w14:textId="77777777" w:rsidR="00764E73" w:rsidRDefault="00764E73" w:rsidP="00764E73"/>
    <w:p w14:paraId="217B66D3" w14:textId="77777777" w:rsidR="00764E73" w:rsidRDefault="00764E73" w:rsidP="00764E73">
      <w:r>
        <w:t>(appropriate formulas here)</w:t>
      </w:r>
    </w:p>
    <w:p w14:paraId="16247782" w14:textId="77777777" w:rsidR="00764E73" w:rsidRDefault="00764E73" w:rsidP="00764E73"/>
    <w:p w14:paraId="10097B50" w14:textId="5AEAC733" w:rsidR="00764E73" w:rsidRDefault="00764E73" w:rsidP="00764E73">
      <w:r>
        <w:t>The calculated HRT is within the recommended range (</w:t>
      </w:r>
      <w:r>
        <w:t>3</w:t>
      </w:r>
      <w:r>
        <w:t>–</w:t>
      </w:r>
      <w:r>
        <w:t>6</w:t>
      </w:r>
      <w:r>
        <w:t xml:space="preserve"> hours) for CMAS processes, confirming adequate contact time and biological stabilisation.</w:t>
      </w:r>
    </w:p>
    <w:p w14:paraId="56CC71AB" w14:textId="77777777" w:rsidR="00764E73" w:rsidRDefault="00764E73" w:rsidP="00764E73"/>
    <w:p w14:paraId="7C31A381" w14:textId="77777777" w:rsidR="00764E73" w:rsidRDefault="00764E73" w:rsidP="00764E73">
      <w:r>
        <w:t>The organic loading rate, an essential performance parameter, is computed as follows:</w:t>
      </w:r>
    </w:p>
    <w:p w14:paraId="175A8BC5" w14:textId="77777777" w:rsidR="00764E73" w:rsidRDefault="00764E73" w:rsidP="00764E73"/>
    <w:p w14:paraId="07B0BA72" w14:textId="2DCF5DD2" w:rsidR="00764E73" w:rsidRDefault="00764E73" w:rsidP="00764E73">
      <w:r>
        <w:t>(appropriate formula here; result: 1</w:t>
      </w:r>
      <w:r>
        <w:t>6</w:t>
      </w:r>
      <w:r>
        <w:t>00 g/m³/day)</w:t>
      </w:r>
    </w:p>
    <w:p w14:paraId="21ED4B88" w14:textId="77777777" w:rsidR="00764E73" w:rsidRDefault="00764E73" w:rsidP="00764E73"/>
    <w:p w14:paraId="27776903" w14:textId="77777777" w:rsidR="00764E73" w:rsidRDefault="00764E73" w:rsidP="00764E73">
      <w:r>
        <w:t>4.5 Sludge Age and Stability</w:t>
      </w:r>
    </w:p>
    <w:p w14:paraId="2B04724E" w14:textId="77777777" w:rsidR="00764E73" w:rsidRDefault="00764E73" w:rsidP="00764E73">
      <w:r>
        <w:t>Typically, kinetic coefficients for activated sludge processes are reported at 20 °C. To adapt these to our chosen design temperature (10 °C), the Arrhenius equation is employed to adjust the yield coefficient (Y) and decay coefficient (K&lt;sub&gt;d&lt;/sub&gt;):</w:t>
      </w:r>
    </w:p>
    <w:p w14:paraId="64A1E87C" w14:textId="77777777" w:rsidR="00764E73" w:rsidRDefault="00764E73" w:rsidP="00764E73"/>
    <w:p w14:paraId="3260C832" w14:textId="77777777" w:rsidR="00764E73" w:rsidRDefault="00764E73" w:rsidP="00764E73">
      <w:r>
        <w:t>(appropriate formula here)</w:t>
      </w:r>
    </w:p>
    <w:p w14:paraId="45ECF643" w14:textId="77777777" w:rsidR="00764E73" w:rsidRDefault="00764E73" w:rsidP="00764E73"/>
    <w:p w14:paraId="2EB048D9" w14:textId="77777777" w:rsidR="00764E73" w:rsidRDefault="00764E73" w:rsidP="00764E73">
      <w:r>
        <w:t>Using these adjusted coefficients, the required sludge age is calculated. A safety factor of 1.3 is applied to accommodate peak organic load variations:</w:t>
      </w:r>
    </w:p>
    <w:p w14:paraId="3BE784E0" w14:textId="77777777" w:rsidR="00764E73" w:rsidRDefault="00764E73" w:rsidP="00764E73"/>
    <w:p w14:paraId="3BE14943" w14:textId="77777777" w:rsidR="00764E73" w:rsidRDefault="00764E73" w:rsidP="00764E73">
      <w:r>
        <w:t>(appropriate formulas here)</w:t>
      </w:r>
    </w:p>
    <w:p w14:paraId="4CC4588B" w14:textId="77777777" w:rsidR="00764E73" w:rsidRDefault="00764E73" w:rsidP="00764E73"/>
    <w:p w14:paraId="2385B818" w14:textId="77777777" w:rsidR="00764E73" w:rsidRDefault="00764E73" w:rsidP="00764E73">
      <w:r>
        <w:t>4.6 Aeration Tank Configuration</w:t>
      </w:r>
    </w:p>
    <w:p w14:paraId="5BF44443" w14:textId="77777777" w:rsidR="00764E73" w:rsidRDefault="00764E73" w:rsidP="00764E73">
      <w:r>
        <w:t>Aeration basins are sized to avoid large volumes that promote dead zones, potentially exacerbating filamentous microbial growth (</w:t>
      </w:r>
      <w:proofErr w:type="spellStart"/>
      <w:r>
        <w:t>Chudova</w:t>
      </w:r>
      <w:proofErr w:type="spellEnd"/>
      <w:r>
        <w:t xml:space="preserve"> et al., 1973). Thus, individual basin volume is limited to 3,500 m³, and the length-to-width ratio is capped at 3:1, consistent with Davis (2010). The number of aeration tanks required is therefore calculated as:</w:t>
      </w:r>
    </w:p>
    <w:p w14:paraId="44EBAC7C" w14:textId="77777777" w:rsidR="00764E73" w:rsidRDefault="00764E73" w:rsidP="00764E73"/>
    <w:p w14:paraId="2044EB56" w14:textId="77777777" w:rsidR="00764E73" w:rsidRDefault="00764E73" w:rsidP="00764E73">
      <w:r>
        <w:t>(appropriate formula here)</w:t>
      </w:r>
    </w:p>
    <w:p w14:paraId="0F05175D" w14:textId="77777777" w:rsidR="00764E73" w:rsidRDefault="00764E73" w:rsidP="00764E73"/>
    <w:p w14:paraId="515E0B73" w14:textId="77777777" w:rsidR="00764E73" w:rsidRDefault="00764E73" w:rsidP="00764E73">
      <w:r>
        <w:t>4.7 Aeration Requirements</w:t>
      </w:r>
    </w:p>
    <w:p w14:paraId="1FEA0B41" w14:textId="77777777" w:rsidR="00764E73" w:rsidRDefault="00764E73" w:rsidP="00764E73">
      <w:r>
        <w:t>Aeration equipment selection requires evaluating both peak hourly and daily average oxygen demands. Peak oxygen demand determines aerator power, while daily average demand informs energy consumption. Oxygen demands and biomass production are calculated using the observed yield coefficient (Y&lt;sub&gt;</w:t>
      </w:r>
      <w:proofErr w:type="spellStart"/>
      <w:r>
        <w:t>obs</w:t>
      </w:r>
      <w:proofErr w:type="spellEnd"/>
      <w:r>
        <w:t>&lt;/sub&gt;):</w:t>
      </w:r>
    </w:p>
    <w:p w14:paraId="70BE733C" w14:textId="77777777" w:rsidR="00764E73" w:rsidRDefault="00764E73" w:rsidP="00764E73"/>
    <w:p w14:paraId="5557AE98" w14:textId="77777777" w:rsidR="00764E73" w:rsidRDefault="00764E73" w:rsidP="00764E73">
      <w:r>
        <w:t>(appropriate formulas here)</w:t>
      </w:r>
    </w:p>
    <w:p w14:paraId="1FD1E958" w14:textId="77777777" w:rsidR="00764E73" w:rsidRDefault="00764E73" w:rsidP="00764E73"/>
    <w:p w14:paraId="52F18C91" w14:textId="77777777" w:rsidR="00764E73" w:rsidRDefault="00764E73" w:rsidP="00764E73">
      <w:r>
        <w:t xml:space="preserve">To determine blower capacity during peak demand, the following calculation is employed, incorporating a safety factor of 2 and assuming a standard oxygen transfer efficiency (10% of 0.279 </w:t>
      </w:r>
      <w:proofErr w:type="spellStart"/>
      <w:r>
        <w:t>kgO</w:t>
      </w:r>
      <w:proofErr w:type="spellEnd"/>
      <w:r>
        <w:t>₂ per m³ air):</w:t>
      </w:r>
    </w:p>
    <w:p w14:paraId="17AA67FA" w14:textId="77777777" w:rsidR="00764E73" w:rsidRDefault="00764E73" w:rsidP="00764E73"/>
    <w:p w14:paraId="7F63985D" w14:textId="77777777" w:rsidR="00764E73" w:rsidRDefault="00764E73" w:rsidP="00764E73">
      <w:r>
        <w:t>(appropriate formula here)</w:t>
      </w:r>
    </w:p>
    <w:p w14:paraId="2AD930FB" w14:textId="77777777" w:rsidR="00764E73" w:rsidRDefault="00764E73" w:rsidP="00764E73"/>
    <w:p w14:paraId="6938D723" w14:textId="77777777" w:rsidR="00764E73" w:rsidRDefault="00764E73" w:rsidP="00764E73">
      <w:r>
        <w:lastRenderedPageBreak/>
        <w:t>4.8 Secondary Clarifier Sizing</w:t>
      </w:r>
    </w:p>
    <w:p w14:paraId="44A23E45" w14:textId="77777777" w:rsidR="00764E73" w:rsidRDefault="00764E73" w:rsidP="00764E73">
      <w:r>
        <w:t>The secondary clarifier surface area is estimated based on solids loading rates recommended in Metcalf &amp; Eddy (2014, Table 8-34):</w:t>
      </w:r>
    </w:p>
    <w:p w14:paraId="1F3BADC4" w14:textId="77777777" w:rsidR="00764E73" w:rsidRDefault="00764E73" w:rsidP="00764E73"/>
    <w:p w14:paraId="1B06E012" w14:textId="4F8603BB" w:rsidR="00764E73" w:rsidRDefault="00764E73" w:rsidP="00764E73">
      <w:r>
        <w:t>(appropriate formula here)</w:t>
      </w:r>
    </w:p>
    <w:p w14:paraId="28694CC5" w14:textId="77777777" w:rsidR="00764E73" w:rsidRDefault="00764E73" w:rsidP="00672A50"/>
    <w:sectPr w:rsidR="00764E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26AEA"/>
    <w:multiLevelType w:val="hybridMultilevel"/>
    <w:tmpl w:val="FFFFFFFF"/>
    <w:lvl w:ilvl="0" w:tplc="FFFFFFFF">
      <w:start w:val="1"/>
      <w:numFmt w:val="bullet"/>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7F4F7B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33435797">
    <w:abstractNumId w:val="1"/>
  </w:num>
  <w:num w:numId="2" w16cid:durableId="30363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63"/>
    <w:rsid w:val="00056BD7"/>
    <w:rsid w:val="00093974"/>
    <w:rsid w:val="000A3273"/>
    <w:rsid w:val="000B712F"/>
    <w:rsid w:val="000E3D50"/>
    <w:rsid w:val="001261CC"/>
    <w:rsid w:val="00146558"/>
    <w:rsid w:val="0015017A"/>
    <w:rsid w:val="00173970"/>
    <w:rsid w:val="0017461B"/>
    <w:rsid w:val="001A6D4A"/>
    <w:rsid w:val="001A73BE"/>
    <w:rsid w:val="001B2947"/>
    <w:rsid w:val="001F3AAA"/>
    <w:rsid w:val="00222EFB"/>
    <w:rsid w:val="002521B3"/>
    <w:rsid w:val="002979B4"/>
    <w:rsid w:val="002A4684"/>
    <w:rsid w:val="003103F3"/>
    <w:rsid w:val="00315B0D"/>
    <w:rsid w:val="00353230"/>
    <w:rsid w:val="003F593E"/>
    <w:rsid w:val="004257EB"/>
    <w:rsid w:val="0044359D"/>
    <w:rsid w:val="004569C4"/>
    <w:rsid w:val="00493753"/>
    <w:rsid w:val="004C6FD6"/>
    <w:rsid w:val="00574A64"/>
    <w:rsid w:val="00574E61"/>
    <w:rsid w:val="005844C4"/>
    <w:rsid w:val="005B1182"/>
    <w:rsid w:val="005C7C63"/>
    <w:rsid w:val="005E2665"/>
    <w:rsid w:val="006503EE"/>
    <w:rsid w:val="00672A50"/>
    <w:rsid w:val="00697B55"/>
    <w:rsid w:val="006C37BB"/>
    <w:rsid w:val="00745A5F"/>
    <w:rsid w:val="00746724"/>
    <w:rsid w:val="00764E73"/>
    <w:rsid w:val="00784C72"/>
    <w:rsid w:val="00785E9C"/>
    <w:rsid w:val="007B60AC"/>
    <w:rsid w:val="007C1B90"/>
    <w:rsid w:val="007D4353"/>
    <w:rsid w:val="007D7A05"/>
    <w:rsid w:val="007E3FD1"/>
    <w:rsid w:val="007E5738"/>
    <w:rsid w:val="007F3ABC"/>
    <w:rsid w:val="007F7130"/>
    <w:rsid w:val="008B69A6"/>
    <w:rsid w:val="008E5BA1"/>
    <w:rsid w:val="008E6958"/>
    <w:rsid w:val="00901D8E"/>
    <w:rsid w:val="009039C9"/>
    <w:rsid w:val="009151C0"/>
    <w:rsid w:val="00921011"/>
    <w:rsid w:val="0094641B"/>
    <w:rsid w:val="009B27E9"/>
    <w:rsid w:val="00A366F2"/>
    <w:rsid w:val="00A37B0A"/>
    <w:rsid w:val="00AC78E4"/>
    <w:rsid w:val="00AE2327"/>
    <w:rsid w:val="00B1467A"/>
    <w:rsid w:val="00B320D0"/>
    <w:rsid w:val="00B81E26"/>
    <w:rsid w:val="00BA1363"/>
    <w:rsid w:val="00BA766D"/>
    <w:rsid w:val="00C37B8F"/>
    <w:rsid w:val="00C474E6"/>
    <w:rsid w:val="00CA37F3"/>
    <w:rsid w:val="00CC1B0B"/>
    <w:rsid w:val="00CC249B"/>
    <w:rsid w:val="00CF08F2"/>
    <w:rsid w:val="00D05F7A"/>
    <w:rsid w:val="00D373F7"/>
    <w:rsid w:val="00D45A6C"/>
    <w:rsid w:val="00D46936"/>
    <w:rsid w:val="00E306EA"/>
    <w:rsid w:val="00E363CA"/>
    <w:rsid w:val="00EB0EE6"/>
    <w:rsid w:val="00F26827"/>
    <w:rsid w:val="00F609A7"/>
    <w:rsid w:val="00F70C4A"/>
    <w:rsid w:val="00F760BB"/>
    <w:rsid w:val="00FB1908"/>
    <w:rsid w:val="00FB24C1"/>
    <w:rsid w:val="00FC7B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D3E27"/>
  <w15:chartTrackingRefBased/>
  <w15:docId w15:val="{995B71A5-A01E-4F55-AD0A-F814D2F9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C63"/>
    <w:rPr>
      <w:rFonts w:eastAsiaTheme="majorEastAsia" w:cstheme="majorBidi"/>
      <w:color w:val="272727" w:themeColor="text1" w:themeTint="D8"/>
    </w:rPr>
  </w:style>
  <w:style w:type="paragraph" w:styleId="Title">
    <w:name w:val="Title"/>
    <w:basedOn w:val="Normal"/>
    <w:next w:val="Normal"/>
    <w:link w:val="TitleChar"/>
    <w:uiPriority w:val="10"/>
    <w:qFormat/>
    <w:rsid w:val="005C7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C63"/>
    <w:pPr>
      <w:spacing w:before="160"/>
      <w:jc w:val="center"/>
    </w:pPr>
    <w:rPr>
      <w:i/>
      <w:iCs/>
      <w:color w:val="404040" w:themeColor="text1" w:themeTint="BF"/>
    </w:rPr>
  </w:style>
  <w:style w:type="character" w:customStyle="1" w:styleId="QuoteChar">
    <w:name w:val="Quote Char"/>
    <w:basedOn w:val="DefaultParagraphFont"/>
    <w:link w:val="Quote"/>
    <w:uiPriority w:val="29"/>
    <w:rsid w:val="005C7C63"/>
    <w:rPr>
      <w:i/>
      <w:iCs/>
      <w:color w:val="404040" w:themeColor="text1" w:themeTint="BF"/>
    </w:rPr>
  </w:style>
  <w:style w:type="paragraph" w:styleId="ListParagraph">
    <w:name w:val="List Paragraph"/>
    <w:basedOn w:val="Normal"/>
    <w:uiPriority w:val="34"/>
    <w:qFormat/>
    <w:rsid w:val="005C7C63"/>
    <w:pPr>
      <w:ind w:left="720"/>
      <w:contextualSpacing/>
    </w:pPr>
  </w:style>
  <w:style w:type="character" w:styleId="IntenseEmphasis">
    <w:name w:val="Intense Emphasis"/>
    <w:basedOn w:val="DefaultParagraphFont"/>
    <w:uiPriority w:val="21"/>
    <w:qFormat/>
    <w:rsid w:val="005C7C63"/>
    <w:rPr>
      <w:i/>
      <w:iCs/>
      <w:color w:val="0F4761" w:themeColor="accent1" w:themeShade="BF"/>
    </w:rPr>
  </w:style>
  <w:style w:type="paragraph" w:styleId="IntenseQuote">
    <w:name w:val="Intense Quote"/>
    <w:basedOn w:val="Normal"/>
    <w:next w:val="Normal"/>
    <w:link w:val="IntenseQuoteChar"/>
    <w:uiPriority w:val="30"/>
    <w:qFormat/>
    <w:rsid w:val="005C7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C63"/>
    <w:rPr>
      <w:i/>
      <w:iCs/>
      <w:color w:val="0F4761" w:themeColor="accent1" w:themeShade="BF"/>
    </w:rPr>
  </w:style>
  <w:style w:type="character" w:styleId="IntenseReference">
    <w:name w:val="Intense Reference"/>
    <w:basedOn w:val="DefaultParagraphFont"/>
    <w:uiPriority w:val="32"/>
    <w:qFormat/>
    <w:rsid w:val="005C7C63"/>
    <w:rPr>
      <w:b/>
      <w:bCs/>
      <w:smallCaps/>
      <w:color w:val="0F4761" w:themeColor="accent1" w:themeShade="BF"/>
      <w:spacing w:val="5"/>
    </w:rPr>
  </w:style>
  <w:style w:type="character" w:styleId="Hyperlink">
    <w:name w:val="Hyperlink"/>
    <w:basedOn w:val="DefaultParagraphFont"/>
    <w:uiPriority w:val="99"/>
    <w:unhideWhenUsed/>
    <w:rsid w:val="00BA1363"/>
    <w:rPr>
      <w:color w:val="467886" w:themeColor="hyperlink"/>
      <w:u w:val="single"/>
    </w:rPr>
  </w:style>
  <w:style w:type="character" w:styleId="UnresolvedMention">
    <w:name w:val="Unresolved Mention"/>
    <w:basedOn w:val="DefaultParagraphFont"/>
    <w:uiPriority w:val="99"/>
    <w:semiHidden/>
    <w:unhideWhenUsed/>
    <w:rsid w:val="00BA1363"/>
    <w:rPr>
      <w:color w:val="605E5C"/>
      <w:shd w:val="clear" w:color="auto" w:fill="E1DFDD"/>
    </w:rPr>
  </w:style>
  <w:style w:type="character" w:styleId="FollowedHyperlink">
    <w:name w:val="FollowedHyperlink"/>
    <w:basedOn w:val="DefaultParagraphFont"/>
    <w:uiPriority w:val="99"/>
    <w:semiHidden/>
    <w:unhideWhenUsed/>
    <w:rsid w:val="00FB24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10123">
      <w:bodyDiv w:val="1"/>
      <w:marLeft w:val="0"/>
      <w:marRight w:val="0"/>
      <w:marTop w:val="0"/>
      <w:marBottom w:val="0"/>
      <w:divBdr>
        <w:top w:val="none" w:sz="0" w:space="0" w:color="auto"/>
        <w:left w:val="none" w:sz="0" w:space="0" w:color="auto"/>
        <w:bottom w:val="none" w:sz="0" w:space="0" w:color="auto"/>
        <w:right w:val="none" w:sz="0" w:space="0" w:color="auto"/>
      </w:divBdr>
    </w:div>
    <w:div w:id="545289036">
      <w:bodyDiv w:val="1"/>
      <w:marLeft w:val="0"/>
      <w:marRight w:val="0"/>
      <w:marTop w:val="0"/>
      <w:marBottom w:val="0"/>
      <w:divBdr>
        <w:top w:val="none" w:sz="0" w:space="0" w:color="auto"/>
        <w:left w:val="none" w:sz="0" w:space="0" w:color="auto"/>
        <w:bottom w:val="none" w:sz="0" w:space="0" w:color="auto"/>
        <w:right w:val="none" w:sz="0" w:space="0" w:color="auto"/>
      </w:divBdr>
    </w:div>
    <w:div w:id="668337998">
      <w:bodyDiv w:val="1"/>
      <w:marLeft w:val="0"/>
      <w:marRight w:val="0"/>
      <w:marTop w:val="0"/>
      <w:marBottom w:val="0"/>
      <w:divBdr>
        <w:top w:val="none" w:sz="0" w:space="0" w:color="auto"/>
        <w:left w:val="none" w:sz="0" w:space="0" w:color="auto"/>
        <w:bottom w:val="none" w:sz="0" w:space="0" w:color="auto"/>
        <w:right w:val="none" w:sz="0" w:space="0" w:color="auto"/>
      </w:divBdr>
    </w:div>
    <w:div w:id="1078820442">
      <w:bodyDiv w:val="1"/>
      <w:marLeft w:val="0"/>
      <w:marRight w:val="0"/>
      <w:marTop w:val="0"/>
      <w:marBottom w:val="0"/>
      <w:divBdr>
        <w:top w:val="none" w:sz="0" w:space="0" w:color="auto"/>
        <w:left w:val="none" w:sz="0" w:space="0" w:color="auto"/>
        <w:bottom w:val="none" w:sz="0" w:space="0" w:color="auto"/>
        <w:right w:val="none" w:sz="0" w:space="0" w:color="auto"/>
      </w:divBdr>
    </w:div>
    <w:div w:id="1325209420">
      <w:bodyDiv w:val="1"/>
      <w:marLeft w:val="0"/>
      <w:marRight w:val="0"/>
      <w:marTop w:val="0"/>
      <w:marBottom w:val="0"/>
      <w:divBdr>
        <w:top w:val="none" w:sz="0" w:space="0" w:color="auto"/>
        <w:left w:val="none" w:sz="0" w:space="0" w:color="auto"/>
        <w:bottom w:val="none" w:sz="0" w:space="0" w:color="auto"/>
        <w:right w:val="none" w:sz="0" w:space="0" w:color="auto"/>
      </w:divBdr>
    </w:div>
    <w:div w:id="1559438458">
      <w:bodyDiv w:val="1"/>
      <w:marLeft w:val="0"/>
      <w:marRight w:val="0"/>
      <w:marTop w:val="0"/>
      <w:marBottom w:val="0"/>
      <w:divBdr>
        <w:top w:val="none" w:sz="0" w:space="0" w:color="auto"/>
        <w:left w:val="none" w:sz="0" w:space="0" w:color="auto"/>
        <w:bottom w:val="none" w:sz="0" w:space="0" w:color="auto"/>
        <w:right w:val="none" w:sz="0" w:space="0" w:color="auto"/>
      </w:divBdr>
    </w:div>
    <w:div w:id="1585919754">
      <w:bodyDiv w:val="1"/>
      <w:marLeft w:val="0"/>
      <w:marRight w:val="0"/>
      <w:marTop w:val="0"/>
      <w:marBottom w:val="0"/>
      <w:divBdr>
        <w:top w:val="none" w:sz="0" w:space="0" w:color="auto"/>
        <w:left w:val="none" w:sz="0" w:space="0" w:color="auto"/>
        <w:bottom w:val="none" w:sz="0" w:space="0" w:color="auto"/>
        <w:right w:val="none" w:sz="0" w:space="0" w:color="auto"/>
      </w:divBdr>
    </w:div>
    <w:div w:id="1731076124">
      <w:bodyDiv w:val="1"/>
      <w:marLeft w:val="0"/>
      <w:marRight w:val="0"/>
      <w:marTop w:val="0"/>
      <w:marBottom w:val="0"/>
      <w:divBdr>
        <w:top w:val="none" w:sz="0" w:space="0" w:color="auto"/>
        <w:left w:val="none" w:sz="0" w:space="0" w:color="auto"/>
        <w:bottom w:val="none" w:sz="0" w:space="0" w:color="auto"/>
        <w:right w:val="none" w:sz="0" w:space="0" w:color="auto"/>
      </w:divBdr>
    </w:div>
    <w:div w:id="1880823342">
      <w:bodyDiv w:val="1"/>
      <w:marLeft w:val="0"/>
      <w:marRight w:val="0"/>
      <w:marTop w:val="0"/>
      <w:marBottom w:val="0"/>
      <w:divBdr>
        <w:top w:val="none" w:sz="0" w:space="0" w:color="auto"/>
        <w:left w:val="none" w:sz="0" w:space="0" w:color="auto"/>
        <w:bottom w:val="none" w:sz="0" w:space="0" w:color="auto"/>
        <w:right w:val="none" w:sz="0" w:space="0" w:color="auto"/>
      </w:divBdr>
    </w:div>
    <w:div w:id="205824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www.accessengineeringlibrary.com/content/book/9780071663588/toc-chapter/chapter14/section/section7" TargetMode="External"/><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727</TotalTime>
  <Pages>15</Pages>
  <Words>1571</Words>
  <Characters>8956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Gonzalez Huertas</dc:creator>
  <cp:keywords/>
  <dc:description/>
  <cp:lastModifiedBy>Kevin Gonzalez Huertas</cp:lastModifiedBy>
  <cp:revision>3</cp:revision>
  <dcterms:created xsi:type="dcterms:W3CDTF">2025-05-13T01:10:00Z</dcterms:created>
  <dcterms:modified xsi:type="dcterms:W3CDTF">2025-05-13T13:15:00Z</dcterms:modified>
</cp:coreProperties>
</file>