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43050" w14:textId="20F342D6" w:rsidR="009E20B6" w:rsidRPr="00B11D90" w:rsidRDefault="00B11D90">
      <w:pPr>
        <w:rPr>
          <w:b/>
          <w:bCs/>
        </w:rPr>
      </w:pPr>
      <w:r w:rsidRPr="00B11D90">
        <w:rPr>
          <w:b/>
          <w:bCs/>
        </w:rPr>
        <w:t>Primary Treatment</w:t>
      </w:r>
    </w:p>
    <w:p w14:paraId="1CF7B458" w14:textId="0A8813C4" w:rsidR="00B11D90" w:rsidRPr="00B11D90" w:rsidRDefault="00B11D90">
      <w:pPr>
        <w:rPr>
          <w:b/>
          <w:bCs/>
        </w:rPr>
      </w:pPr>
      <w:r w:rsidRPr="00B11D90">
        <w:rPr>
          <w:b/>
          <w:bCs/>
        </w:rPr>
        <w:t>3.1. Facility Types</w:t>
      </w:r>
    </w:p>
    <w:p w14:paraId="257BC7FE" w14:textId="4D6FE1F9" w:rsidR="00B11D90" w:rsidRPr="00B431B3" w:rsidRDefault="00B11D90" w:rsidP="00B11D90">
      <w:pPr>
        <w:pStyle w:val="NoSpacing"/>
        <w:spacing w:line="360" w:lineRule="auto"/>
        <w:rPr>
          <w:strike/>
        </w:rPr>
      </w:pPr>
      <w:r w:rsidRPr="00B431B3">
        <w:rPr>
          <w:strike/>
        </w:rPr>
        <w:t>Primary treatment in this design is achieved using circular primary clarifiers. While both circular and rectangular clarifiers are widely used, circular tanks were selected due to their hydraulic efficiency, ease of sludge removal, and suitability for continuous operation in medium-to-large wastewater treatment plants. Circular clarifiers promote uniform radial flow distribution, reducing dead zones and short-circuiting, which enhances sedimentation performance. Mechanically, the rotating sludge scraper arms in circular clarifiers allow for reliable and consistent solids removal with minimal manual intervention. Moreover, for a greenfield development with expected long-term service and increasing population, circular clarifiers provide a scalable, space-efficient, and operationally robust solution.</w:t>
      </w:r>
    </w:p>
    <w:p w14:paraId="5741697D" w14:textId="1923121F" w:rsidR="00B11D90" w:rsidRDefault="00B11D90" w:rsidP="00B11D90">
      <w:pPr>
        <w:pStyle w:val="NoSpacing"/>
        <w:spacing w:line="360" w:lineRule="auto"/>
      </w:pPr>
    </w:p>
    <w:p w14:paraId="57EA804B" w14:textId="5DFF9B12" w:rsidR="00976881" w:rsidRDefault="00B11D90" w:rsidP="00B11D90">
      <w:pPr>
        <w:pStyle w:val="NoSpacing"/>
        <w:spacing w:line="360" w:lineRule="auto"/>
        <w:rPr>
          <w:b/>
          <w:bCs/>
        </w:rPr>
      </w:pPr>
      <w:r w:rsidRPr="00B11D90">
        <w:rPr>
          <w:b/>
          <w:bCs/>
        </w:rPr>
        <w:t>3.2. Design Description</w:t>
      </w:r>
    </w:p>
    <w:p w14:paraId="6B7FD22B" w14:textId="77777777" w:rsidR="00976881" w:rsidRDefault="00976881" w:rsidP="00B11D90">
      <w:pPr>
        <w:pStyle w:val="NoSpacing"/>
        <w:spacing w:line="360" w:lineRule="auto"/>
        <w:rPr>
          <w:b/>
          <w:bCs/>
        </w:rPr>
      </w:pPr>
    </w:p>
    <w:p w14:paraId="049203B7" w14:textId="3596CD19" w:rsidR="00A351C5" w:rsidRDefault="00A351C5" w:rsidP="00B11D90">
      <w:pPr>
        <w:pStyle w:val="NoSpacing"/>
        <w:spacing w:line="360" w:lineRule="auto"/>
        <w:rPr>
          <w:b/>
          <w:bCs/>
        </w:rPr>
      </w:pPr>
      <w:r>
        <w:rPr>
          <w:b/>
          <w:bCs/>
        </w:rPr>
        <w:t>Inlet</w:t>
      </w:r>
    </w:p>
    <w:p w14:paraId="4111AD38" w14:textId="6459E66C" w:rsidR="00A351C5" w:rsidRDefault="00A351C5" w:rsidP="00B11D90">
      <w:pPr>
        <w:pStyle w:val="NoSpacing"/>
        <w:spacing w:line="360" w:lineRule="auto"/>
      </w:pPr>
      <w:r>
        <w:t>The inlet proposed acts as energy dissipator</w:t>
      </w:r>
      <w:r w:rsidR="00BA3458">
        <w:t xml:space="preserve"> (EDI)</w:t>
      </w:r>
      <w:r>
        <w:t>,</w:t>
      </w:r>
      <w:r w:rsidRPr="00A351C5">
        <w:t xml:space="preserve"> used within the </w:t>
      </w:r>
      <w:proofErr w:type="spellStart"/>
      <w:r w:rsidRPr="00A351C5">
        <w:t>feedwell</w:t>
      </w:r>
      <w:proofErr w:type="spellEnd"/>
      <w:r w:rsidRPr="00A351C5">
        <w:t xml:space="preserve"> to distribute flow</w:t>
      </w:r>
      <w:r w:rsidR="00445106">
        <w:t xml:space="preserve"> (influent)</w:t>
      </w:r>
      <w:r w:rsidRPr="00A351C5">
        <w:t xml:space="preserve"> and enhance mixing, further promoting flocculation</w:t>
      </w:r>
      <w:r w:rsidR="00445106">
        <w:t xml:space="preserve"> (Figure X)</w:t>
      </w:r>
      <w:r w:rsidRPr="00A351C5">
        <w:t xml:space="preserve">. Their diameter </w:t>
      </w:r>
      <w:r>
        <w:t>was defined as</w:t>
      </w:r>
      <w:r w:rsidRPr="00A351C5">
        <w:t xml:space="preserve"> a</w:t>
      </w:r>
      <w:r>
        <w:t xml:space="preserve"> 10</w:t>
      </w:r>
      <w:r w:rsidRPr="00A351C5">
        <w:t xml:space="preserve"> percen</w:t>
      </w:r>
      <w:r>
        <w:t xml:space="preserve">t </w:t>
      </w:r>
      <w:r w:rsidRPr="00A351C5">
        <w:t>of</w:t>
      </w:r>
      <w:r>
        <w:t xml:space="preserve"> </w:t>
      </w:r>
      <w:r w:rsidRPr="00A351C5">
        <w:t>the tank diameter</w:t>
      </w:r>
      <w:r w:rsidR="00445106">
        <w:t xml:space="preserve"> (max. 13%)</w:t>
      </w:r>
      <w:r>
        <w:t xml:space="preserve">, promoting </w:t>
      </w:r>
      <w:r w:rsidRPr="00A351C5">
        <w:t xml:space="preserve">a detention time </w:t>
      </w:r>
      <w:r>
        <w:t xml:space="preserve">between </w:t>
      </w:r>
      <w:r w:rsidRPr="00A351C5">
        <w:t>8 to 10 seconds</w:t>
      </w:r>
      <w:r w:rsidR="00445106">
        <w:t xml:space="preserve"> (Metcalf &amp; Eddy, 2019)</w:t>
      </w:r>
      <w:r w:rsidRPr="00A351C5">
        <w:t xml:space="preserve">. </w:t>
      </w:r>
      <w:r w:rsidR="00445106">
        <w:t>Additionally, the author mentions that if</w:t>
      </w:r>
      <w:r w:rsidRPr="00A351C5">
        <w:t xml:space="preserve"> the </w:t>
      </w:r>
      <w:r>
        <w:t>inlet</w:t>
      </w:r>
      <w:r w:rsidRPr="00A351C5">
        <w:t xml:space="preserve"> assembly is </w:t>
      </w:r>
      <w:r>
        <w:t>quite</w:t>
      </w:r>
      <w:r w:rsidRPr="00A351C5">
        <w:t xml:space="preserve"> large, it can reduce the effective flocculation volume and increase downward velocities, potentially </w:t>
      </w:r>
      <w:r>
        <w:t xml:space="preserve">hindering </w:t>
      </w:r>
      <w:r w:rsidRPr="00A351C5">
        <w:t>performance.</w:t>
      </w:r>
      <w:r w:rsidR="00BA3458">
        <w:t xml:space="preserve"> </w:t>
      </w:r>
    </w:p>
    <w:p w14:paraId="2A282B9A" w14:textId="2DA05904" w:rsidR="00BA3458" w:rsidRDefault="00445106" w:rsidP="00445106">
      <w:pPr>
        <w:pStyle w:val="NoSpacing"/>
        <w:spacing w:line="360" w:lineRule="auto"/>
        <w:jc w:val="center"/>
      </w:pPr>
      <w:r>
        <w:rPr>
          <w:noProof/>
        </w:rPr>
        <w:drawing>
          <wp:inline distT="0" distB="0" distL="0" distR="0" wp14:anchorId="7B83C956" wp14:editId="138CC398">
            <wp:extent cx="3352800" cy="1971924"/>
            <wp:effectExtent l="0" t="0" r="0" b="9525"/>
            <wp:docPr id="1813126512" name="Picture 2" descr="A diagram of a circular object with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126512" name="Picture 2" descr="A diagram of a circular object with arrows&#10;&#10;AI-generated content may be incorrect."/>
                    <pic:cNvPicPr/>
                  </pic:nvPicPr>
                  <pic:blipFill rotWithShape="1">
                    <a:blip r:embed="rId5">
                      <a:extLst>
                        <a:ext uri="{28A0092B-C50C-407E-A947-70E740481C1C}">
                          <a14:useLocalDpi xmlns:a14="http://schemas.microsoft.com/office/drawing/2010/main" val="0"/>
                        </a:ext>
                      </a:extLst>
                    </a:blip>
                    <a:srcRect b="9200"/>
                    <a:stretch/>
                  </pic:blipFill>
                  <pic:spPr bwMode="auto">
                    <a:xfrm>
                      <a:off x="0" y="0"/>
                      <a:ext cx="3353268" cy="1972199"/>
                    </a:xfrm>
                    <a:prstGeom prst="rect">
                      <a:avLst/>
                    </a:prstGeom>
                    <a:ln>
                      <a:noFill/>
                    </a:ln>
                    <a:extLst>
                      <a:ext uri="{53640926-AAD7-44D8-BBD7-CCE9431645EC}">
                        <a14:shadowObscured xmlns:a14="http://schemas.microsoft.com/office/drawing/2010/main"/>
                      </a:ext>
                    </a:extLst>
                  </pic:spPr>
                </pic:pic>
              </a:graphicData>
            </a:graphic>
          </wp:inline>
        </w:drawing>
      </w:r>
    </w:p>
    <w:p w14:paraId="023A89C1" w14:textId="05352F08" w:rsidR="00445106" w:rsidRPr="00A351C5" w:rsidRDefault="00445106" w:rsidP="00445106">
      <w:pPr>
        <w:pStyle w:val="NoSpacing"/>
        <w:spacing w:line="360" w:lineRule="auto"/>
        <w:jc w:val="center"/>
      </w:pPr>
      <w:r>
        <w:t xml:space="preserve">Figure X. </w:t>
      </w:r>
      <w:proofErr w:type="spellStart"/>
      <w:r>
        <w:t>Feedwell</w:t>
      </w:r>
      <w:proofErr w:type="spellEnd"/>
      <w:r>
        <w:t xml:space="preserve"> </w:t>
      </w:r>
      <w:r w:rsidRPr="00445106">
        <w:t>with energy dissipating inlet (EDI)</w:t>
      </w:r>
      <w:r>
        <w:t>, plan view. (Metcalf &amp; Eddy, 2019).</w:t>
      </w:r>
    </w:p>
    <w:p w14:paraId="0E65193B" w14:textId="77777777" w:rsidR="00A351C5" w:rsidRDefault="00A351C5" w:rsidP="00B11D90">
      <w:pPr>
        <w:pStyle w:val="NoSpacing"/>
        <w:spacing w:line="360" w:lineRule="auto"/>
        <w:rPr>
          <w:b/>
          <w:bCs/>
        </w:rPr>
      </w:pPr>
    </w:p>
    <w:p w14:paraId="3B4C0B37" w14:textId="77777777" w:rsidR="00A351C5" w:rsidRPr="00976881" w:rsidRDefault="00A351C5" w:rsidP="00B11D90">
      <w:pPr>
        <w:pStyle w:val="NoSpacing"/>
        <w:spacing w:line="360" w:lineRule="auto"/>
        <w:rPr>
          <w:b/>
          <w:bCs/>
        </w:rPr>
      </w:pPr>
    </w:p>
    <w:p w14:paraId="61827822" w14:textId="6539C64F" w:rsidR="00B11D90" w:rsidRDefault="00B11D90" w:rsidP="00B11D90">
      <w:pPr>
        <w:pStyle w:val="NoSpacing"/>
        <w:spacing w:line="360" w:lineRule="auto"/>
      </w:pPr>
      <w:r>
        <w:lastRenderedPageBreak/>
        <w:t>3.3. Pollutants</w:t>
      </w:r>
    </w:p>
    <w:p w14:paraId="5C2722E5" w14:textId="77777777" w:rsidR="00B11D90" w:rsidRDefault="00B11D90" w:rsidP="00B11D90">
      <w:pPr>
        <w:pStyle w:val="NoSpacing"/>
        <w:spacing w:line="360" w:lineRule="auto"/>
      </w:pPr>
    </w:p>
    <w:p w14:paraId="1CE701B9" w14:textId="38578AF5" w:rsidR="00B11D90" w:rsidRDefault="00C04DF2" w:rsidP="00B11D90">
      <w:pPr>
        <w:pStyle w:val="NoSpacing"/>
        <w:spacing w:line="360" w:lineRule="auto"/>
      </w:pPr>
      <w:r>
        <w:t xml:space="preserve">The removal efficiency for BOD and </w:t>
      </w:r>
      <w:r w:rsidR="00231544">
        <w:t>suspended soils (</w:t>
      </w:r>
      <w:r w:rsidR="000D105D">
        <w:t>T</w:t>
      </w:r>
      <w:r w:rsidR="00231544">
        <w:t xml:space="preserve">SS) </w:t>
      </w:r>
      <w:r>
        <w:t xml:space="preserve">was determined based on the influent BOD5 concentration (370 mg/L) and the detention time required, having into account that </w:t>
      </w:r>
      <w:r w:rsidR="00382CE0">
        <w:t xml:space="preserve">lower </w:t>
      </w:r>
      <w:r>
        <w:t>temperature</w:t>
      </w:r>
      <w:r w:rsidR="00382CE0">
        <w:t>s</w:t>
      </w:r>
      <w:r>
        <w:t xml:space="preserve"> affect directly the particle</w:t>
      </w:r>
      <w:r w:rsidR="00EA4FF8">
        <w:t>s</w:t>
      </w:r>
      <w:r>
        <w:t xml:space="preserve"> settlement velocity due to changes in the viscosity of the water</w:t>
      </w:r>
      <w:r w:rsidR="00382CE0">
        <w:t xml:space="preserve"> </w:t>
      </w:r>
      <w:r w:rsidR="00EA4FF8">
        <w:t>(</w:t>
      </w:r>
      <w:r w:rsidR="00EA4FF8" w:rsidRPr="00382CE0">
        <w:t>Metcalf &amp; Eddy I</w:t>
      </w:r>
      <w:r w:rsidR="00EA4FF8">
        <w:t xml:space="preserve"> AECOM, 2014). </w:t>
      </w:r>
      <w:r w:rsidR="00231544">
        <w:t>Likewise,</w:t>
      </w:r>
      <w:r w:rsidR="00EA4FF8">
        <w:t xml:space="preserve"> the author mentions </w:t>
      </w:r>
      <w:r w:rsidR="00231544">
        <w:t xml:space="preserve">that </w:t>
      </w:r>
      <w:r w:rsidR="00EA4FF8">
        <w:t xml:space="preserve">the removal efficiency </w:t>
      </w:r>
      <w:r w:rsidR="00231544">
        <w:t>for</w:t>
      </w:r>
      <w:r w:rsidR="00EA4FF8">
        <w:t xml:space="preserve"> BOD </w:t>
      </w:r>
      <w:r w:rsidR="00231544">
        <w:t xml:space="preserve">moves into the interval of 25 to 40 percent, for </w:t>
      </w:r>
      <w:r w:rsidR="000D105D">
        <w:t>T</w:t>
      </w:r>
      <w:r w:rsidR="00231544">
        <w:t>SS is between 50 to 70 percent. The</w:t>
      </w:r>
      <w:r w:rsidR="000D105D">
        <w:t xml:space="preserve"> author presents the relationship between removal efficiency and detention time (Equation X), it is given by empirical constants at 20°C for BOD and TSS (Table X).</w:t>
      </w:r>
    </w:p>
    <w:p w14:paraId="7D6BBB03" w14:textId="7BB528A9" w:rsidR="000D105D" w:rsidRDefault="000D105D" w:rsidP="000D105D">
      <w:pPr>
        <w:pStyle w:val="NoSpacing"/>
        <w:spacing w:line="360" w:lineRule="auto"/>
        <w:jc w:val="center"/>
      </w:pPr>
      <w:r w:rsidRPr="000D105D">
        <w:rPr>
          <w:noProof/>
        </w:rPr>
        <w:drawing>
          <wp:inline distT="0" distB="0" distL="0" distR="0" wp14:anchorId="6FE5E20A" wp14:editId="3BDFCB9B">
            <wp:extent cx="2170706" cy="880015"/>
            <wp:effectExtent l="0" t="0" r="1270" b="0"/>
            <wp:docPr id="918635984"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635984" name="Picture 1" descr="A black text on a white background&#10;&#10;AI-generated content may be incorrect."/>
                    <pic:cNvPicPr/>
                  </pic:nvPicPr>
                  <pic:blipFill>
                    <a:blip r:embed="rId6"/>
                    <a:stretch>
                      <a:fillRect/>
                    </a:stretch>
                  </pic:blipFill>
                  <pic:spPr>
                    <a:xfrm>
                      <a:off x="0" y="0"/>
                      <a:ext cx="2173436" cy="881122"/>
                    </a:xfrm>
                    <a:prstGeom prst="rect">
                      <a:avLst/>
                    </a:prstGeom>
                  </pic:spPr>
                </pic:pic>
              </a:graphicData>
            </a:graphic>
          </wp:inline>
        </w:drawing>
      </w:r>
    </w:p>
    <w:p w14:paraId="0CAE1CB6" w14:textId="2E65071A" w:rsidR="000D105D" w:rsidRPr="000D105D" w:rsidRDefault="000D105D" w:rsidP="000D105D">
      <w:pPr>
        <w:pStyle w:val="NoSpacing"/>
        <w:spacing w:line="360" w:lineRule="auto"/>
        <w:jc w:val="center"/>
        <w:rPr>
          <w:sz w:val="16"/>
          <w:szCs w:val="18"/>
        </w:rPr>
      </w:pPr>
      <w:r w:rsidRPr="000D105D">
        <w:rPr>
          <w:sz w:val="16"/>
          <w:szCs w:val="18"/>
        </w:rPr>
        <w:t>Equation X.</w:t>
      </w:r>
    </w:p>
    <w:p w14:paraId="1EA9273F" w14:textId="116C9C4B" w:rsidR="000D105D" w:rsidRDefault="000D105D" w:rsidP="000D105D">
      <w:pPr>
        <w:pStyle w:val="NoSpacing"/>
        <w:spacing w:line="360" w:lineRule="auto"/>
        <w:jc w:val="center"/>
      </w:pPr>
      <w:r w:rsidRPr="000D105D">
        <w:rPr>
          <w:noProof/>
        </w:rPr>
        <w:drawing>
          <wp:inline distT="0" distB="0" distL="0" distR="0" wp14:anchorId="0EB49934" wp14:editId="011922A9">
            <wp:extent cx="2091193" cy="707888"/>
            <wp:effectExtent l="0" t="0" r="4445" b="0"/>
            <wp:docPr id="224720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720429" name=""/>
                    <pic:cNvPicPr/>
                  </pic:nvPicPr>
                  <pic:blipFill>
                    <a:blip r:embed="rId7"/>
                    <a:stretch>
                      <a:fillRect/>
                    </a:stretch>
                  </pic:blipFill>
                  <pic:spPr>
                    <a:xfrm>
                      <a:off x="0" y="0"/>
                      <a:ext cx="2094661" cy="709062"/>
                    </a:xfrm>
                    <a:prstGeom prst="rect">
                      <a:avLst/>
                    </a:prstGeom>
                  </pic:spPr>
                </pic:pic>
              </a:graphicData>
            </a:graphic>
          </wp:inline>
        </w:drawing>
      </w:r>
    </w:p>
    <w:p w14:paraId="4916BC79" w14:textId="0A38FC05" w:rsidR="00B11D90" w:rsidRPr="000D105D" w:rsidRDefault="000D105D" w:rsidP="000D105D">
      <w:pPr>
        <w:pStyle w:val="NoSpacing"/>
        <w:spacing w:line="360" w:lineRule="auto"/>
        <w:jc w:val="center"/>
        <w:rPr>
          <w:sz w:val="16"/>
          <w:szCs w:val="18"/>
        </w:rPr>
      </w:pPr>
      <w:r w:rsidRPr="000D105D">
        <w:rPr>
          <w:sz w:val="16"/>
          <w:szCs w:val="18"/>
        </w:rPr>
        <w:t>Table X. Empirical constants for removal efficiency of BOD and TSS.</w:t>
      </w:r>
    </w:p>
    <w:p w14:paraId="26920063" w14:textId="77777777" w:rsidR="000D105D" w:rsidRDefault="000D105D" w:rsidP="000D105D">
      <w:pPr>
        <w:pStyle w:val="NoSpacing"/>
        <w:spacing w:line="360" w:lineRule="auto"/>
        <w:jc w:val="center"/>
      </w:pPr>
    </w:p>
    <w:p w14:paraId="1F6C6AD3" w14:textId="4FBCC9F4" w:rsidR="000D105D" w:rsidRDefault="000D105D" w:rsidP="000D105D">
      <w:pPr>
        <w:pStyle w:val="NoSpacing"/>
        <w:spacing w:line="360" w:lineRule="auto"/>
      </w:pPr>
      <w:r>
        <w:t xml:space="preserve">The detention time (t) was </w:t>
      </w:r>
      <w:r w:rsidR="00DA275A">
        <w:t xml:space="preserve">determined by practicing several iterations that meets the efficiency requirements into this primary treatment stage and pointing to meet the efficiency requirements for the secondary treatments stage. To meet such requirements, the target of BOD removal efficiency was set in 30%. Further, the detention time (t) was adjusted using a security factor defined by the temperature conditions prevailing in the operation place. </w:t>
      </w:r>
      <w:r w:rsidR="006971AC">
        <w:t>Metcalf &amp; Eddy (2014)</w:t>
      </w:r>
      <w:r w:rsidR="00CF61AF">
        <w:t xml:space="preserve"> </w:t>
      </w:r>
      <w:r w:rsidR="006971AC">
        <w:t xml:space="preserve">presents a curve to estimate </w:t>
      </w:r>
      <w:r w:rsidR="00CF61AF">
        <w:t xml:space="preserve">such security </w:t>
      </w:r>
      <w:proofErr w:type="gramStart"/>
      <w:r w:rsidR="00CF61AF">
        <w:t>factor</w:t>
      </w:r>
      <w:proofErr w:type="gramEnd"/>
      <w:r w:rsidR="006971AC">
        <w:t xml:space="preserve"> needed to increase the detention time for temperatures lower than 20°C</w:t>
      </w:r>
      <w:r w:rsidR="00CF61AF">
        <w:t xml:space="preserve"> (Figure X).</w:t>
      </w:r>
    </w:p>
    <w:p w14:paraId="19CB288C" w14:textId="4BEDE54A" w:rsidR="00CF61AF" w:rsidRDefault="00CF61AF" w:rsidP="00CF61AF">
      <w:pPr>
        <w:pStyle w:val="NoSpacing"/>
        <w:spacing w:line="360" w:lineRule="auto"/>
        <w:jc w:val="center"/>
      </w:pPr>
      <w:r w:rsidRPr="00CF61AF">
        <w:rPr>
          <w:noProof/>
        </w:rPr>
        <w:lastRenderedPageBreak/>
        <w:drawing>
          <wp:inline distT="0" distB="0" distL="0" distR="0" wp14:anchorId="00822B3E" wp14:editId="13CB1F9A">
            <wp:extent cx="2934031" cy="2130362"/>
            <wp:effectExtent l="0" t="0" r="0" b="3810"/>
            <wp:docPr id="904376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376772" name=""/>
                    <pic:cNvPicPr/>
                  </pic:nvPicPr>
                  <pic:blipFill>
                    <a:blip r:embed="rId8"/>
                    <a:stretch>
                      <a:fillRect/>
                    </a:stretch>
                  </pic:blipFill>
                  <pic:spPr>
                    <a:xfrm>
                      <a:off x="0" y="0"/>
                      <a:ext cx="2937204" cy="2132666"/>
                    </a:xfrm>
                    <a:prstGeom prst="rect">
                      <a:avLst/>
                    </a:prstGeom>
                  </pic:spPr>
                </pic:pic>
              </a:graphicData>
            </a:graphic>
          </wp:inline>
        </w:drawing>
      </w:r>
    </w:p>
    <w:p w14:paraId="4F5D66AF" w14:textId="174970BF" w:rsidR="00CF61AF" w:rsidRDefault="00CF61AF" w:rsidP="00CF61AF">
      <w:pPr>
        <w:pStyle w:val="NoSpacing"/>
        <w:spacing w:line="360" w:lineRule="auto"/>
        <w:jc w:val="center"/>
        <w:rPr>
          <w:sz w:val="16"/>
          <w:szCs w:val="18"/>
        </w:rPr>
      </w:pPr>
      <w:r>
        <w:rPr>
          <w:sz w:val="16"/>
          <w:szCs w:val="18"/>
        </w:rPr>
        <w:t>Figure</w:t>
      </w:r>
      <w:r w:rsidRPr="000D105D">
        <w:rPr>
          <w:sz w:val="16"/>
          <w:szCs w:val="18"/>
        </w:rPr>
        <w:t xml:space="preserve"> X. </w:t>
      </w:r>
      <w:r>
        <w:rPr>
          <w:sz w:val="16"/>
          <w:szCs w:val="18"/>
        </w:rPr>
        <w:t xml:space="preserve">Curve of increase in detention time required at lower temperatures, to achieve </w:t>
      </w:r>
      <w:r w:rsidR="006971AC">
        <w:rPr>
          <w:sz w:val="16"/>
          <w:szCs w:val="18"/>
        </w:rPr>
        <w:t>the same sedimentation performance in clarifiers at 20°C</w:t>
      </w:r>
      <w:r w:rsidRPr="000D105D">
        <w:rPr>
          <w:sz w:val="16"/>
          <w:szCs w:val="18"/>
        </w:rPr>
        <w:t>.</w:t>
      </w:r>
    </w:p>
    <w:p w14:paraId="06508C48" w14:textId="77777777" w:rsidR="00BC4363" w:rsidRPr="000D105D" w:rsidRDefault="00BC4363" w:rsidP="00CF61AF">
      <w:pPr>
        <w:pStyle w:val="NoSpacing"/>
        <w:spacing w:line="360" w:lineRule="auto"/>
        <w:jc w:val="center"/>
        <w:rPr>
          <w:sz w:val="16"/>
          <w:szCs w:val="18"/>
        </w:rPr>
      </w:pPr>
    </w:p>
    <w:p w14:paraId="0A073F91" w14:textId="2F0FFA64" w:rsidR="00EA4FF8" w:rsidRDefault="00D25259" w:rsidP="00CF61AF">
      <w:pPr>
        <w:pStyle w:val="NoSpacing"/>
        <w:tabs>
          <w:tab w:val="left" w:pos="5234"/>
        </w:tabs>
        <w:spacing w:line="360" w:lineRule="auto"/>
      </w:pPr>
      <w:r>
        <w:t>T</w:t>
      </w:r>
      <w:r w:rsidR="00BC4363">
        <w:t>o meet all requirements for this stage of the primary treatment design it is necessary to evaluate the adjusted detention time is between the time interval of 1.5 hours and 2.5 hours. Below is presented the summary of the removal efficiency for BOD and TSS, and the adjusted detention time calculated.</w:t>
      </w:r>
    </w:p>
    <w:p w14:paraId="7380BE5C" w14:textId="77777777" w:rsidR="00147A5F" w:rsidRDefault="00147A5F" w:rsidP="00CF61AF">
      <w:pPr>
        <w:pStyle w:val="NoSpacing"/>
        <w:tabs>
          <w:tab w:val="left" w:pos="5234"/>
        </w:tabs>
        <w:spacing w:line="360" w:lineRule="auto"/>
      </w:pPr>
    </w:p>
    <w:p w14:paraId="380F5E2C" w14:textId="550E9E55" w:rsidR="00147A5F" w:rsidRDefault="00147A5F" w:rsidP="00CF61AF">
      <w:pPr>
        <w:pStyle w:val="NoSpacing"/>
        <w:tabs>
          <w:tab w:val="left" w:pos="5234"/>
        </w:tabs>
        <w:spacing w:line="360" w:lineRule="auto"/>
      </w:pPr>
      <w:r>
        <w:t>Removal Efficiency for adjusted detention time of peak flow rate (</w:t>
      </w:r>
      <w:proofErr w:type="spellStart"/>
      <w:r>
        <w:t>t_PHR</w:t>
      </w:r>
      <w:proofErr w:type="spellEnd"/>
      <w:r>
        <w:t>) at 10°C</w:t>
      </w:r>
    </w:p>
    <w:p w14:paraId="5299686F" w14:textId="421B3B4B" w:rsidR="00147A5F" w:rsidRDefault="00147A5F" w:rsidP="00CF61AF">
      <w:pPr>
        <w:pStyle w:val="NoSpacing"/>
        <w:tabs>
          <w:tab w:val="left" w:pos="5234"/>
        </w:tabs>
        <w:spacing w:line="360" w:lineRule="auto"/>
      </w:pPr>
      <w:r>
        <w:t>Adjusted detention time (</w:t>
      </w:r>
      <w:proofErr w:type="spellStart"/>
      <w:r>
        <w:t>t_PHR</w:t>
      </w:r>
      <w:proofErr w:type="spellEnd"/>
      <w:r>
        <w:t>) = 1.82h</w:t>
      </w:r>
    </w:p>
    <w:p w14:paraId="507F05E4" w14:textId="49A38A06" w:rsidR="00BC4363" w:rsidRDefault="00BC4363" w:rsidP="00CF61AF">
      <w:pPr>
        <w:pStyle w:val="NoSpacing"/>
        <w:tabs>
          <w:tab w:val="left" w:pos="5234"/>
        </w:tabs>
        <w:spacing w:line="360" w:lineRule="auto"/>
      </w:pPr>
      <w:r>
        <w:t>R_BOD = 30</w:t>
      </w:r>
      <w:r w:rsidR="00147A5F">
        <w:t>.0</w:t>
      </w:r>
      <w:r>
        <w:t>% -&gt; 25% &lt; R_BOD &lt; 40%</w:t>
      </w:r>
    </w:p>
    <w:p w14:paraId="52B46D66" w14:textId="21F2EF6F" w:rsidR="00BC4363" w:rsidRDefault="00BC4363" w:rsidP="00CF61AF">
      <w:pPr>
        <w:pStyle w:val="NoSpacing"/>
        <w:tabs>
          <w:tab w:val="left" w:pos="5234"/>
        </w:tabs>
        <w:spacing w:line="360" w:lineRule="auto"/>
      </w:pPr>
      <w:r>
        <w:t>R_TSS = 51.1</w:t>
      </w:r>
      <w:r w:rsidR="00147A5F">
        <w:t>4</w:t>
      </w:r>
      <w:r>
        <w:t>% -&gt; 50% &lt; R_TSS &lt; 70%</w:t>
      </w:r>
    </w:p>
    <w:p w14:paraId="33BEDDAD" w14:textId="77777777" w:rsidR="00147A5F" w:rsidRDefault="00147A5F" w:rsidP="00CF61AF">
      <w:pPr>
        <w:pStyle w:val="NoSpacing"/>
        <w:tabs>
          <w:tab w:val="left" w:pos="5234"/>
        </w:tabs>
        <w:spacing w:line="360" w:lineRule="auto"/>
      </w:pPr>
    </w:p>
    <w:p w14:paraId="191BEAB7" w14:textId="77777777" w:rsidR="00147A5F" w:rsidRDefault="00147A5F" w:rsidP="00CF61AF">
      <w:pPr>
        <w:pStyle w:val="NoSpacing"/>
        <w:tabs>
          <w:tab w:val="left" w:pos="5234"/>
        </w:tabs>
        <w:spacing w:line="360" w:lineRule="auto"/>
      </w:pPr>
    </w:p>
    <w:p w14:paraId="56702126" w14:textId="77777777" w:rsidR="00147A5F" w:rsidRDefault="00147A5F" w:rsidP="00CF61AF">
      <w:pPr>
        <w:pStyle w:val="NoSpacing"/>
        <w:tabs>
          <w:tab w:val="left" w:pos="5234"/>
        </w:tabs>
        <w:spacing w:line="360" w:lineRule="auto"/>
      </w:pPr>
    </w:p>
    <w:p w14:paraId="12DB9FE7" w14:textId="01103579" w:rsidR="00147A5F" w:rsidRDefault="00147A5F" w:rsidP="00147A5F">
      <w:pPr>
        <w:pStyle w:val="NoSpacing"/>
        <w:tabs>
          <w:tab w:val="left" w:pos="5234"/>
        </w:tabs>
        <w:spacing w:line="360" w:lineRule="auto"/>
      </w:pPr>
      <w:r>
        <w:t>Removal Efficiency for detention time of average dry weather flow (</w:t>
      </w:r>
      <w:proofErr w:type="spellStart"/>
      <w:r>
        <w:t>t_ADW</w:t>
      </w:r>
      <w:proofErr w:type="spellEnd"/>
      <w:r>
        <w:t>) at 10°C</w:t>
      </w:r>
    </w:p>
    <w:p w14:paraId="4D966828" w14:textId="29BE8A82" w:rsidR="00147A5F" w:rsidRDefault="00147A5F" w:rsidP="00147A5F">
      <w:pPr>
        <w:pStyle w:val="NoSpacing"/>
        <w:tabs>
          <w:tab w:val="left" w:pos="5234"/>
        </w:tabs>
        <w:spacing w:line="360" w:lineRule="auto"/>
      </w:pPr>
      <w:r>
        <w:t>Detention time (</w:t>
      </w:r>
      <w:proofErr w:type="spellStart"/>
      <w:r>
        <w:t>t_ADW</w:t>
      </w:r>
      <w:proofErr w:type="spellEnd"/>
      <w:r>
        <w:t>) = 2.50h</w:t>
      </w:r>
    </w:p>
    <w:p w14:paraId="0AA72B2F" w14:textId="77D612F7" w:rsidR="00147A5F" w:rsidRDefault="00147A5F" w:rsidP="00147A5F">
      <w:pPr>
        <w:pStyle w:val="NoSpacing"/>
        <w:tabs>
          <w:tab w:val="left" w:pos="5234"/>
        </w:tabs>
        <w:spacing w:line="360" w:lineRule="auto"/>
      </w:pPr>
      <w:r>
        <w:t>R_BOD = 33.66% -&gt; 25% &lt; R_BOD &lt; 40%</w:t>
      </w:r>
    </w:p>
    <w:p w14:paraId="4A3071B5" w14:textId="7CC94E49" w:rsidR="00147A5F" w:rsidRDefault="00147A5F" w:rsidP="00147A5F">
      <w:pPr>
        <w:pStyle w:val="NoSpacing"/>
        <w:tabs>
          <w:tab w:val="left" w:pos="5234"/>
        </w:tabs>
        <w:spacing w:line="360" w:lineRule="auto"/>
      </w:pPr>
      <w:r>
        <w:t>R_TSS = 55.42% -&gt; 50% &lt; R_TSS &lt; 70%</w:t>
      </w:r>
    </w:p>
    <w:p w14:paraId="254CB421" w14:textId="77777777" w:rsidR="00147A5F" w:rsidRDefault="00147A5F" w:rsidP="00CF61AF">
      <w:pPr>
        <w:pStyle w:val="NoSpacing"/>
        <w:tabs>
          <w:tab w:val="left" w:pos="5234"/>
        </w:tabs>
        <w:spacing w:line="360" w:lineRule="auto"/>
      </w:pPr>
    </w:p>
    <w:p w14:paraId="2D63B68C" w14:textId="73DCAA5E" w:rsidR="00BC4363" w:rsidRDefault="00147A5F" w:rsidP="00CF61AF">
      <w:pPr>
        <w:pStyle w:val="NoSpacing"/>
        <w:tabs>
          <w:tab w:val="left" w:pos="5234"/>
        </w:tabs>
        <w:spacing w:line="360" w:lineRule="auto"/>
      </w:pPr>
      <w:r>
        <w:t>As was mentioned before, the removal efficiency must be calculated at 20°C temperature conditions. It means that the detention times presented above must be corrected dividing each one by the security factor corresponding to the temperature of 10°C.</w:t>
      </w:r>
      <w:r w:rsidR="00C963DB">
        <w:t xml:space="preserve"> </w:t>
      </w:r>
      <w:r w:rsidR="00D25259">
        <w:t>Finally, the</w:t>
      </w:r>
      <w:r w:rsidR="00E407DE">
        <w:t xml:space="preserve"> greater</w:t>
      </w:r>
      <w:r w:rsidR="00D25259">
        <w:t xml:space="preserve"> BOD5 concentration at the end of the primary treatment is 25</w:t>
      </w:r>
      <w:r w:rsidR="00C963DB">
        <w:t>9 mg/L. This BOD5 concentration will be treated during the secondary treatment.</w:t>
      </w:r>
    </w:p>
    <w:p w14:paraId="21B3BC51" w14:textId="77777777" w:rsidR="008E627A" w:rsidRDefault="008E627A" w:rsidP="00CF61AF">
      <w:pPr>
        <w:pStyle w:val="NoSpacing"/>
        <w:tabs>
          <w:tab w:val="left" w:pos="5234"/>
        </w:tabs>
        <w:spacing w:line="360" w:lineRule="auto"/>
      </w:pPr>
    </w:p>
    <w:p w14:paraId="5E878276" w14:textId="5125FCE6" w:rsidR="00C963DB" w:rsidRDefault="00C963DB" w:rsidP="00CF61AF">
      <w:pPr>
        <w:pStyle w:val="NoSpacing"/>
        <w:tabs>
          <w:tab w:val="left" w:pos="5234"/>
        </w:tabs>
        <w:spacing w:line="360" w:lineRule="auto"/>
        <w:rPr>
          <w:b/>
          <w:bCs/>
        </w:rPr>
      </w:pPr>
      <w:r w:rsidRPr="00C963DB">
        <w:rPr>
          <w:b/>
          <w:bCs/>
        </w:rPr>
        <w:lastRenderedPageBreak/>
        <w:t>Protection against failure</w:t>
      </w:r>
    </w:p>
    <w:p w14:paraId="66BA1FA0" w14:textId="51D79C17" w:rsidR="000427B2" w:rsidRPr="00FB41CA" w:rsidRDefault="000427B2" w:rsidP="00FB41CA">
      <w:pPr>
        <w:pStyle w:val="NoSpacing"/>
        <w:tabs>
          <w:tab w:val="left" w:pos="5234"/>
        </w:tabs>
        <w:spacing w:after="240" w:line="360" w:lineRule="auto"/>
      </w:pPr>
      <w:r w:rsidRPr="00FB41CA">
        <w:t xml:space="preserve">Below are presented key aspects </w:t>
      </w:r>
      <w:r w:rsidR="00C265DE" w:rsidRPr="00FB41CA">
        <w:t>related to</w:t>
      </w:r>
      <w:r w:rsidRPr="00FB41CA">
        <w:t xml:space="preserve"> the proposed design that ensure protection against failures of the relevant components for the primary treatment circular tanks:</w:t>
      </w:r>
    </w:p>
    <w:p w14:paraId="1EB423DB" w14:textId="7BB5C8DD" w:rsidR="000427B2" w:rsidRDefault="000427B2" w:rsidP="000427B2">
      <w:pPr>
        <w:pStyle w:val="NoSpacing"/>
        <w:numPr>
          <w:ilvl w:val="0"/>
          <w:numId w:val="1"/>
        </w:numPr>
        <w:tabs>
          <w:tab w:val="left" w:pos="5234"/>
        </w:tabs>
        <w:spacing w:line="360" w:lineRule="auto"/>
      </w:pPr>
      <w:r w:rsidRPr="00FB41CA">
        <w:rPr>
          <w:b/>
          <w:bCs/>
        </w:rPr>
        <w:t>Redundancy:</w:t>
      </w:r>
      <w:r>
        <w:t xml:space="preserve"> It was </w:t>
      </w:r>
      <w:r w:rsidR="008E4281">
        <w:t xml:space="preserve">proposed </w:t>
      </w:r>
      <w:r>
        <w:t>three tanks</w:t>
      </w:r>
      <w:r w:rsidR="008E4281">
        <w:t xml:space="preserve"> </w:t>
      </w:r>
      <w:r>
        <w:t>to allow for independent operation and prevent complete system shutdown during maintenance or failure</w:t>
      </w:r>
      <w:r w:rsidR="008E4281">
        <w:t xml:space="preserve"> of at least one tank</w:t>
      </w:r>
      <w:r>
        <w:t>.</w:t>
      </w:r>
      <w:r w:rsidR="00C265DE">
        <w:t xml:space="preserve"> (Davis, 2010)</w:t>
      </w:r>
    </w:p>
    <w:p w14:paraId="7FD04985" w14:textId="7028C698" w:rsidR="000427B2" w:rsidRDefault="000427B2" w:rsidP="008E4281">
      <w:pPr>
        <w:pStyle w:val="NoSpacing"/>
        <w:numPr>
          <w:ilvl w:val="0"/>
          <w:numId w:val="1"/>
        </w:numPr>
        <w:tabs>
          <w:tab w:val="left" w:pos="5234"/>
        </w:tabs>
        <w:spacing w:line="360" w:lineRule="auto"/>
      </w:pPr>
      <w:r w:rsidRPr="00FB41CA">
        <w:rPr>
          <w:b/>
          <w:bCs/>
        </w:rPr>
        <w:t>Hydraulic Load Management:</w:t>
      </w:r>
      <w:r>
        <w:t xml:space="preserve"> </w:t>
      </w:r>
      <w:r w:rsidR="008E4281">
        <w:t>The designed handles</w:t>
      </w:r>
      <w:r>
        <w:t xml:space="preserve"> peak flows </w:t>
      </w:r>
      <w:r w:rsidR="00C265DE">
        <w:t>2.2 times greater than the average flow</w:t>
      </w:r>
      <w:r>
        <w:t xml:space="preserve"> minimize surges from recycle streams, protecting downstream processes from overload.</w:t>
      </w:r>
      <w:r w:rsidR="00C265DE">
        <w:t xml:space="preserve"> (Davis</w:t>
      </w:r>
    </w:p>
    <w:p w14:paraId="74A15FA9" w14:textId="5A6E5A41" w:rsidR="000427B2" w:rsidRDefault="00C265DE" w:rsidP="00C265DE">
      <w:pPr>
        <w:pStyle w:val="NoSpacing"/>
        <w:numPr>
          <w:ilvl w:val="0"/>
          <w:numId w:val="1"/>
        </w:numPr>
        <w:tabs>
          <w:tab w:val="left" w:pos="5234"/>
        </w:tabs>
        <w:spacing w:line="360" w:lineRule="auto"/>
      </w:pPr>
      <w:r w:rsidRPr="00FB41CA">
        <w:rPr>
          <w:b/>
          <w:bCs/>
        </w:rPr>
        <w:t>Overflow</w:t>
      </w:r>
      <w:r w:rsidR="000427B2" w:rsidRPr="00FB41CA">
        <w:rPr>
          <w:b/>
          <w:bCs/>
        </w:rPr>
        <w:t xml:space="preserve"> Rates:</w:t>
      </w:r>
      <w:r w:rsidR="000427B2">
        <w:t xml:space="preserve"> </w:t>
      </w:r>
      <w:r>
        <w:t>The design maintains</w:t>
      </w:r>
      <w:r w:rsidR="000427B2">
        <w:t xml:space="preserve"> recommended </w:t>
      </w:r>
      <w:r>
        <w:t>SLR</w:t>
      </w:r>
      <w:r w:rsidR="004C2A91">
        <w:t xml:space="preserve"> into the permissible range</w:t>
      </w:r>
      <w:r w:rsidR="000427B2">
        <w:t xml:space="preserve"> to ensure effective sedimentation and prevent solids washout</w:t>
      </w:r>
      <w:r>
        <w:t xml:space="preserve"> (Davis, 2010)</w:t>
      </w:r>
      <w:r w:rsidR="004C2A91">
        <w:t xml:space="preserve">. Also, it is possible </w:t>
      </w:r>
      <w:r w:rsidR="00FB41CA">
        <w:t>to ensure</w:t>
      </w:r>
      <w:r w:rsidR="004C2A91">
        <w:t xml:space="preserve"> that the peak flow is at least 2 times greater than the average flow (Metcalf and Eddy, 2019).</w:t>
      </w:r>
    </w:p>
    <w:p w14:paraId="6DDFC968" w14:textId="3B293580" w:rsidR="000427B2" w:rsidRDefault="000427B2" w:rsidP="00C265DE">
      <w:pPr>
        <w:pStyle w:val="NoSpacing"/>
        <w:numPr>
          <w:ilvl w:val="0"/>
          <w:numId w:val="1"/>
        </w:numPr>
        <w:tabs>
          <w:tab w:val="left" w:pos="5234"/>
        </w:tabs>
        <w:spacing w:line="360" w:lineRule="auto"/>
      </w:pPr>
      <w:r w:rsidRPr="00FB41CA">
        <w:rPr>
          <w:b/>
          <w:bCs/>
        </w:rPr>
        <w:t>Adequate Detention Time:</w:t>
      </w:r>
      <w:r>
        <w:t xml:space="preserve"> </w:t>
      </w:r>
      <w:r w:rsidR="00C265DE">
        <w:t>The d</w:t>
      </w:r>
      <w:r>
        <w:t xml:space="preserve">esign </w:t>
      </w:r>
      <w:r w:rsidR="00C265DE">
        <w:t>ensures</w:t>
      </w:r>
      <w:r>
        <w:t xml:space="preserve"> sufficient detention time</w:t>
      </w:r>
      <w:r w:rsidR="00C265DE">
        <w:t xml:space="preserve"> (1.5h &lt; t &lt; 2.5h)</w:t>
      </w:r>
      <w:r>
        <w:t xml:space="preserve"> to allow settling while preventing anaerobic conditions that can cause sludge lifting</w:t>
      </w:r>
      <w:r w:rsidR="00C265DE">
        <w:t xml:space="preserve"> (Davis, 2010).</w:t>
      </w:r>
    </w:p>
    <w:p w14:paraId="3D3E9417" w14:textId="54B4E6F1" w:rsidR="000427B2" w:rsidRDefault="000427B2" w:rsidP="00C265DE">
      <w:pPr>
        <w:pStyle w:val="NoSpacing"/>
        <w:numPr>
          <w:ilvl w:val="0"/>
          <w:numId w:val="1"/>
        </w:numPr>
        <w:tabs>
          <w:tab w:val="left" w:pos="5234"/>
        </w:tabs>
        <w:spacing w:line="360" w:lineRule="auto"/>
      </w:pPr>
      <w:r w:rsidRPr="00FB41CA">
        <w:rPr>
          <w:b/>
          <w:bCs/>
        </w:rPr>
        <w:t>Velocity Control:</w:t>
      </w:r>
      <w:r>
        <w:t xml:space="preserve"> </w:t>
      </w:r>
      <w:r w:rsidR="008C5F9C">
        <w:t xml:space="preserve">It is worth mentioning that the </w:t>
      </w:r>
      <w:r>
        <w:t>flow velocity</w:t>
      </w:r>
      <w:r w:rsidR="008C5F9C">
        <w:t xml:space="preserve"> will be limited</w:t>
      </w:r>
      <w:r>
        <w:t xml:space="preserve"> within the tank to avoid resuspending settled solids</w:t>
      </w:r>
      <w:r w:rsidR="008C5F9C">
        <w:t xml:space="preserve"> (Davis, 2010)</w:t>
      </w:r>
      <w:r>
        <w:t>.</w:t>
      </w:r>
    </w:p>
    <w:p w14:paraId="24C41332" w14:textId="396933C4" w:rsidR="000427B2" w:rsidRDefault="000427B2" w:rsidP="008C5F9C">
      <w:pPr>
        <w:pStyle w:val="NoSpacing"/>
        <w:numPr>
          <w:ilvl w:val="0"/>
          <w:numId w:val="1"/>
        </w:numPr>
        <w:tabs>
          <w:tab w:val="left" w:pos="5234"/>
        </w:tabs>
        <w:spacing w:line="360" w:lineRule="auto"/>
      </w:pPr>
      <w:r w:rsidRPr="00FB41CA">
        <w:rPr>
          <w:b/>
          <w:bCs/>
        </w:rPr>
        <w:t>Effective Flow Distribution:</w:t>
      </w:r>
      <w:r>
        <w:t xml:space="preserve"> </w:t>
      </w:r>
      <w:r w:rsidR="008C5F9C">
        <w:t>The design contemplates utilizing</w:t>
      </w:r>
      <w:r>
        <w:t xml:space="preserve"> well-designed inlets and baffles</w:t>
      </w:r>
      <w:r w:rsidR="008C5F9C">
        <w:t xml:space="preserve"> ahead of effluent weirs</w:t>
      </w:r>
      <w:r>
        <w:t xml:space="preserve"> to distribute flow evenly, prevent short-circuiting, and promote settling</w:t>
      </w:r>
      <w:r w:rsidR="008C5F9C">
        <w:t xml:space="preserve">; also preventing </w:t>
      </w:r>
      <w:r w:rsidR="004C2A91">
        <w:t>scum to discharge</w:t>
      </w:r>
      <w:r w:rsidR="008C5F9C">
        <w:t xml:space="preserve"> into the effluent (Metcalf &amp; Eddy, 2019)</w:t>
      </w:r>
      <w:r>
        <w:t>.</w:t>
      </w:r>
    </w:p>
    <w:p w14:paraId="5FEF116B" w14:textId="55525881" w:rsidR="00147A5F" w:rsidRDefault="000427B2" w:rsidP="00CF61AF">
      <w:pPr>
        <w:pStyle w:val="NoSpacing"/>
        <w:numPr>
          <w:ilvl w:val="0"/>
          <w:numId w:val="1"/>
        </w:numPr>
        <w:tabs>
          <w:tab w:val="left" w:pos="5234"/>
        </w:tabs>
        <w:spacing w:line="360" w:lineRule="auto"/>
      </w:pPr>
      <w:r w:rsidRPr="00FB41CA">
        <w:rPr>
          <w:b/>
          <w:bCs/>
        </w:rPr>
        <w:t>Robust Sludge Removal:</w:t>
      </w:r>
      <w:r>
        <w:t xml:space="preserve"> </w:t>
      </w:r>
      <w:r w:rsidR="006813E6">
        <w:t>The design contemplates defining the</w:t>
      </w:r>
      <w:r w:rsidR="006813E6" w:rsidRPr="006813E6">
        <w:t xml:space="preserve"> bottom of the tank sloped 1 in 12 (</w:t>
      </w:r>
      <w:proofErr w:type="gramStart"/>
      <w:r w:rsidR="006813E6" w:rsidRPr="006813E6">
        <w:t>vertical</w:t>
      </w:r>
      <w:r w:rsidR="006813E6">
        <w:t xml:space="preserve"> </w:t>
      </w:r>
      <w:r w:rsidR="006813E6" w:rsidRPr="006813E6">
        <w:t>:</w:t>
      </w:r>
      <w:proofErr w:type="gramEnd"/>
      <w:r w:rsidR="006813E6" w:rsidRPr="006813E6">
        <w:t xml:space="preserve"> horizontal) </w:t>
      </w:r>
      <w:r w:rsidR="006813E6">
        <w:t>forming an</w:t>
      </w:r>
      <w:r w:rsidR="006813E6" w:rsidRPr="006813E6">
        <w:t xml:space="preserve"> inverted cone</w:t>
      </w:r>
      <w:r w:rsidR="006813E6">
        <w:t>.</w:t>
      </w:r>
      <w:r w:rsidR="006813E6" w:rsidRPr="006813E6">
        <w:t xml:space="preserve"> </w:t>
      </w:r>
      <w:r w:rsidR="006813E6">
        <w:t>Such</w:t>
      </w:r>
      <w:r>
        <w:t xml:space="preserve"> sloped bottom and effective scrapers </w:t>
      </w:r>
      <w:r w:rsidR="006813E6">
        <w:t>ensure</w:t>
      </w:r>
      <w:r>
        <w:t xml:space="preserve"> </w:t>
      </w:r>
      <w:r w:rsidR="006813E6">
        <w:t xml:space="preserve">to </w:t>
      </w:r>
      <w:r>
        <w:t>move settled sludge to the hopper</w:t>
      </w:r>
      <w:r w:rsidR="006813E6">
        <w:t xml:space="preserve"> (Metcalf &amp; Eddy, 2019)</w:t>
      </w:r>
      <w:r>
        <w:t>.</w:t>
      </w:r>
    </w:p>
    <w:p w14:paraId="449DCF4D" w14:textId="77777777" w:rsidR="00147A5F" w:rsidRDefault="00147A5F" w:rsidP="00CF61AF">
      <w:pPr>
        <w:pStyle w:val="NoSpacing"/>
        <w:tabs>
          <w:tab w:val="left" w:pos="5234"/>
        </w:tabs>
        <w:spacing w:line="360" w:lineRule="auto"/>
      </w:pPr>
    </w:p>
    <w:p w14:paraId="64E437AB" w14:textId="223885D2" w:rsidR="00147A5F" w:rsidRPr="00147A5F" w:rsidRDefault="00147A5F" w:rsidP="00CF61AF">
      <w:pPr>
        <w:pStyle w:val="NoSpacing"/>
        <w:tabs>
          <w:tab w:val="left" w:pos="5234"/>
        </w:tabs>
        <w:spacing w:line="360" w:lineRule="auto"/>
        <w:rPr>
          <w:b/>
          <w:bCs/>
        </w:rPr>
      </w:pPr>
      <w:r w:rsidRPr="00147A5F">
        <w:rPr>
          <w:b/>
          <w:bCs/>
        </w:rPr>
        <w:t>Reference</w:t>
      </w:r>
    </w:p>
    <w:p w14:paraId="17CC5F56" w14:textId="3F0A4704" w:rsidR="00382CE0" w:rsidRPr="00382CE0" w:rsidRDefault="00147A5F" w:rsidP="00382CE0">
      <w:r w:rsidRPr="00147A5F">
        <w:t xml:space="preserve">[Metcalf and Eddy, 2014] </w:t>
      </w:r>
      <w:r w:rsidR="00382CE0" w:rsidRPr="00382CE0">
        <w:t>Metcalf &amp; Eddy I</w:t>
      </w:r>
      <w:r w:rsidR="00382CE0">
        <w:t xml:space="preserve"> AECOM</w:t>
      </w:r>
      <w:r w:rsidR="00382CE0" w:rsidRPr="00382CE0">
        <w:t xml:space="preserve">. (2014). </w:t>
      </w:r>
      <w:r w:rsidR="00382CE0" w:rsidRPr="00382CE0">
        <w:rPr>
          <w:i/>
          <w:iCs/>
        </w:rPr>
        <w:t xml:space="preserve">Wastewater </w:t>
      </w:r>
      <w:proofErr w:type="gramStart"/>
      <w:r w:rsidR="00382CE0" w:rsidRPr="00382CE0">
        <w:rPr>
          <w:i/>
          <w:iCs/>
        </w:rPr>
        <w:t>engineering :</w:t>
      </w:r>
      <w:proofErr w:type="gramEnd"/>
      <w:r w:rsidR="00382CE0" w:rsidRPr="00382CE0">
        <w:rPr>
          <w:i/>
          <w:iCs/>
        </w:rPr>
        <w:t xml:space="preserve"> treatment and resource recovery</w:t>
      </w:r>
      <w:r w:rsidR="00382CE0" w:rsidRPr="00382CE0">
        <w:t xml:space="preserve"> (</w:t>
      </w:r>
      <w:r w:rsidR="00382CE0">
        <w:t>5th</w:t>
      </w:r>
      <w:r w:rsidR="00382CE0" w:rsidRPr="00382CE0">
        <w:t xml:space="preserve"> ed.). McGraw-Hill Education.</w:t>
      </w:r>
    </w:p>
    <w:p w14:paraId="6E3AF44F" w14:textId="77777777" w:rsidR="00382CE0" w:rsidRPr="00382CE0" w:rsidRDefault="00382CE0" w:rsidP="00382CE0"/>
    <w:sectPr w:rsidR="00382CE0" w:rsidRPr="00382CE0" w:rsidSect="002F04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70442"/>
    <w:multiLevelType w:val="hybridMultilevel"/>
    <w:tmpl w:val="83CCB41A"/>
    <w:lvl w:ilvl="0" w:tplc="8292B2EC">
      <w:start w:val="10"/>
      <w:numFmt w:val="bullet"/>
      <w:lvlText w:val="-"/>
      <w:lvlJc w:val="left"/>
      <w:pPr>
        <w:ind w:left="720" w:hanging="360"/>
      </w:pPr>
      <w:rPr>
        <w:rFonts w:ascii="Arial" w:eastAsiaTheme="minorHAnsi"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7374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D90"/>
    <w:rsid w:val="000427B2"/>
    <w:rsid w:val="000D105D"/>
    <w:rsid w:val="001115D2"/>
    <w:rsid w:val="00147A5F"/>
    <w:rsid w:val="00205BC8"/>
    <w:rsid w:val="00231544"/>
    <w:rsid w:val="002F04F8"/>
    <w:rsid w:val="00351B74"/>
    <w:rsid w:val="00382CE0"/>
    <w:rsid w:val="00384CFA"/>
    <w:rsid w:val="00445106"/>
    <w:rsid w:val="004639E1"/>
    <w:rsid w:val="004C2A91"/>
    <w:rsid w:val="00620231"/>
    <w:rsid w:val="006813E6"/>
    <w:rsid w:val="006971AC"/>
    <w:rsid w:val="007B0B6E"/>
    <w:rsid w:val="007F508F"/>
    <w:rsid w:val="008C5F9C"/>
    <w:rsid w:val="008E4281"/>
    <w:rsid w:val="008E627A"/>
    <w:rsid w:val="00976881"/>
    <w:rsid w:val="009E20B6"/>
    <w:rsid w:val="00A351C5"/>
    <w:rsid w:val="00B11D90"/>
    <w:rsid w:val="00B431B3"/>
    <w:rsid w:val="00BA3458"/>
    <w:rsid w:val="00BC4363"/>
    <w:rsid w:val="00C04DF2"/>
    <w:rsid w:val="00C265DE"/>
    <w:rsid w:val="00C963DB"/>
    <w:rsid w:val="00CF61AF"/>
    <w:rsid w:val="00D25259"/>
    <w:rsid w:val="00DA275A"/>
    <w:rsid w:val="00E407DE"/>
    <w:rsid w:val="00E939B4"/>
    <w:rsid w:val="00EA4FF8"/>
    <w:rsid w:val="00F953DB"/>
    <w:rsid w:val="00FB41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D9A7B"/>
  <w15:chartTrackingRefBased/>
  <w15:docId w15:val="{9FD0A290-58B7-4805-9727-08A4C7E59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0B6E"/>
    <w:pPr>
      <w:spacing w:line="480" w:lineRule="auto"/>
    </w:pPr>
    <w:rPr>
      <w:rFonts w:ascii="Arial" w:hAnsi="Arial"/>
      <w:sz w:val="22"/>
      <w:lang w:val="en-US"/>
    </w:rPr>
  </w:style>
  <w:style w:type="paragraph" w:styleId="Heading1">
    <w:name w:val="heading 1"/>
    <w:basedOn w:val="Normal"/>
    <w:next w:val="Normal"/>
    <w:link w:val="Heading1Char"/>
    <w:uiPriority w:val="9"/>
    <w:qFormat/>
    <w:rsid w:val="00E939B4"/>
    <w:pPr>
      <w:keepNext/>
      <w:keepLines/>
      <w:spacing w:before="360" w:after="12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E939B4"/>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E939B4"/>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E939B4"/>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B11D9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11D9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11D9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11D9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11D9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39B4"/>
    <w:rPr>
      <w:rFonts w:ascii="Arial" w:eastAsiaTheme="majorEastAsia" w:hAnsi="Arial" w:cstheme="majorBidi"/>
      <w:b/>
      <w:sz w:val="22"/>
      <w:szCs w:val="40"/>
      <w:lang w:val="en-US"/>
    </w:rPr>
  </w:style>
  <w:style w:type="character" w:customStyle="1" w:styleId="Heading2Char">
    <w:name w:val="Heading 2 Char"/>
    <w:basedOn w:val="DefaultParagraphFont"/>
    <w:link w:val="Heading2"/>
    <w:uiPriority w:val="9"/>
    <w:rsid w:val="00E939B4"/>
    <w:rPr>
      <w:rFonts w:ascii="Arial" w:eastAsiaTheme="majorEastAsia" w:hAnsi="Arial" w:cstheme="majorBidi"/>
      <w:b/>
      <w:sz w:val="22"/>
      <w:szCs w:val="32"/>
      <w:lang w:val="en-US"/>
    </w:rPr>
  </w:style>
  <w:style w:type="character" w:customStyle="1" w:styleId="Heading3Char">
    <w:name w:val="Heading 3 Char"/>
    <w:basedOn w:val="DefaultParagraphFont"/>
    <w:link w:val="Heading3"/>
    <w:uiPriority w:val="9"/>
    <w:rsid w:val="00E939B4"/>
    <w:rPr>
      <w:rFonts w:ascii="Arial" w:eastAsiaTheme="majorEastAsia" w:hAnsi="Arial" w:cstheme="majorBidi"/>
      <w:b/>
      <w:sz w:val="22"/>
      <w:szCs w:val="28"/>
      <w:lang w:val="en-US"/>
    </w:rPr>
  </w:style>
  <w:style w:type="character" w:customStyle="1" w:styleId="Heading4Char">
    <w:name w:val="Heading 4 Char"/>
    <w:basedOn w:val="DefaultParagraphFont"/>
    <w:link w:val="Heading4"/>
    <w:uiPriority w:val="9"/>
    <w:rsid w:val="00E939B4"/>
    <w:rPr>
      <w:rFonts w:ascii="Arial" w:eastAsiaTheme="majorEastAsia" w:hAnsi="Arial" w:cstheme="majorBidi"/>
      <w:b/>
      <w:iCs/>
      <w:sz w:val="22"/>
      <w:lang w:val="en-US"/>
    </w:rPr>
  </w:style>
  <w:style w:type="paragraph" w:styleId="TOC1">
    <w:name w:val="toc 1"/>
    <w:basedOn w:val="Normal"/>
    <w:next w:val="Normal"/>
    <w:autoRedefine/>
    <w:uiPriority w:val="39"/>
    <w:semiHidden/>
    <w:unhideWhenUsed/>
    <w:rsid w:val="00E939B4"/>
    <w:pPr>
      <w:spacing w:after="100"/>
    </w:pPr>
  </w:style>
  <w:style w:type="character" w:customStyle="1" w:styleId="Heading5Char">
    <w:name w:val="Heading 5 Char"/>
    <w:basedOn w:val="DefaultParagraphFont"/>
    <w:link w:val="Heading5"/>
    <w:uiPriority w:val="9"/>
    <w:semiHidden/>
    <w:rsid w:val="00B11D90"/>
    <w:rPr>
      <w:rFonts w:eastAsiaTheme="majorEastAsia" w:cstheme="majorBidi"/>
      <w:color w:val="0F4761" w:themeColor="accent1" w:themeShade="BF"/>
      <w:sz w:val="22"/>
      <w:lang w:val="en-US"/>
    </w:rPr>
  </w:style>
  <w:style w:type="character" w:customStyle="1" w:styleId="Heading6Char">
    <w:name w:val="Heading 6 Char"/>
    <w:basedOn w:val="DefaultParagraphFont"/>
    <w:link w:val="Heading6"/>
    <w:uiPriority w:val="9"/>
    <w:semiHidden/>
    <w:rsid w:val="00B11D90"/>
    <w:rPr>
      <w:rFonts w:eastAsiaTheme="majorEastAsia" w:cstheme="majorBidi"/>
      <w:i/>
      <w:iCs/>
      <w:color w:val="595959" w:themeColor="text1" w:themeTint="A6"/>
      <w:sz w:val="22"/>
      <w:lang w:val="en-US"/>
    </w:rPr>
  </w:style>
  <w:style w:type="character" w:customStyle="1" w:styleId="Heading7Char">
    <w:name w:val="Heading 7 Char"/>
    <w:basedOn w:val="DefaultParagraphFont"/>
    <w:link w:val="Heading7"/>
    <w:uiPriority w:val="9"/>
    <w:semiHidden/>
    <w:rsid w:val="00B11D90"/>
    <w:rPr>
      <w:rFonts w:eastAsiaTheme="majorEastAsia" w:cstheme="majorBidi"/>
      <w:color w:val="595959" w:themeColor="text1" w:themeTint="A6"/>
      <w:sz w:val="22"/>
      <w:lang w:val="en-US"/>
    </w:rPr>
  </w:style>
  <w:style w:type="character" w:customStyle="1" w:styleId="Heading8Char">
    <w:name w:val="Heading 8 Char"/>
    <w:basedOn w:val="DefaultParagraphFont"/>
    <w:link w:val="Heading8"/>
    <w:uiPriority w:val="9"/>
    <w:semiHidden/>
    <w:rsid w:val="00B11D90"/>
    <w:rPr>
      <w:rFonts w:eastAsiaTheme="majorEastAsia" w:cstheme="majorBidi"/>
      <w:i/>
      <w:iCs/>
      <w:color w:val="272727" w:themeColor="text1" w:themeTint="D8"/>
      <w:sz w:val="22"/>
      <w:lang w:val="en-US"/>
    </w:rPr>
  </w:style>
  <w:style w:type="character" w:customStyle="1" w:styleId="Heading9Char">
    <w:name w:val="Heading 9 Char"/>
    <w:basedOn w:val="DefaultParagraphFont"/>
    <w:link w:val="Heading9"/>
    <w:uiPriority w:val="9"/>
    <w:semiHidden/>
    <w:rsid w:val="00B11D90"/>
    <w:rPr>
      <w:rFonts w:eastAsiaTheme="majorEastAsia" w:cstheme="majorBidi"/>
      <w:color w:val="272727" w:themeColor="text1" w:themeTint="D8"/>
      <w:sz w:val="22"/>
      <w:lang w:val="en-US"/>
    </w:rPr>
  </w:style>
  <w:style w:type="paragraph" w:styleId="Title">
    <w:name w:val="Title"/>
    <w:basedOn w:val="Normal"/>
    <w:next w:val="Normal"/>
    <w:link w:val="TitleChar"/>
    <w:uiPriority w:val="10"/>
    <w:qFormat/>
    <w:rsid w:val="00B11D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1D90"/>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B11D9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1D90"/>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B11D90"/>
    <w:pPr>
      <w:spacing w:before="160"/>
      <w:jc w:val="center"/>
    </w:pPr>
    <w:rPr>
      <w:i/>
      <w:iCs/>
      <w:color w:val="404040" w:themeColor="text1" w:themeTint="BF"/>
    </w:rPr>
  </w:style>
  <w:style w:type="character" w:customStyle="1" w:styleId="QuoteChar">
    <w:name w:val="Quote Char"/>
    <w:basedOn w:val="DefaultParagraphFont"/>
    <w:link w:val="Quote"/>
    <w:uiPriority w:val="29"/>
    <w:rsid w:val="00B11D90"/>
    <w:rPr>
      <w:rFonts w:ascii="Arial" w:hAnsi="Arial"/>
      <w:i/>
      <w:iCs/>
      <w:color w:val="404040" w:themeColor="text1" w:themeTint="BF"/>
      <w:sz w:val="22"/>
      <w:lang w:val="en-US"/>
    </w:rPr>
  </w:style>
  <w:style w:type="paragraph" w:styleId="ListParagraph">
    <w:name w:val="List Paragraph"/>
    <w:basedOn w:val="Normal"/>
    <w:uiPriority w:val="34"/>
    <w:qFormat/>
    <w:rsid w:val="00B11D90"/>
    <w:pPr>
      <w:ind w:left="720"/>
      <w:contextualSpacing/>
    </w:pPr>
  </w:style>
  <w:style w:type="character" w:styleId="IntenseEmphasis">
    <w:name w:val="Intense Emphasis"/>
    <w:basedOn w:val="DefaultParagraphFont"/>
    <w:uiPriority w:val="21"/>
    <w:qFormat/>
    <w:rsid w:val="00B11D90"/>
    <w:rPr>
      <w:i/>
      <w:iCs/>
      <w:color w:val="0F4761" w:themeColor="accent1" w:themeShade="BF"/>
    </w:rPr>
  </w:style>
  <w:style w:type="paragraph" w:styleId="IntenseQuote">
    <w:name w:val="Intense Quote"/>
    <w:basedOn w:val="Normal"/>
    <w:next w:val="Normal"/>
    <w:link w:val="IntenseQuoteChar"/>
    <w:uiPriority w:val="30"/>
    <w:qFormat/>
    <w:rsid w:val="00B11D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1D90"/>
    <w:rPr>
      <w:rFonts w:ascii="Arial" w:hAnsi="Arial"/>
      <w:i/>
      <w:iCs/>
      <w:color w:val="0F4761" w:themeColor="accent1" w:themeShade="BF"/>
      <w:sz w:val="22"/>
      <w:lang w:val="en-US"/>
    </w:rPr>
  </w:style>
  <w:style w:type="character" w:styleId="IntenseReference">
    <w:name w:val="Intense Reference"/>
    <w:basedOn w:val="DefaultParagraphFont"/>
    <w:uiPriority w:val="32"/>
    <w:qFormat/>
    <w:rsid w:val="00B11D90"/>
    <w:rPr>
      <w:b/>
      <w:bCs/>
      <w:smallCaps/>
      <w:color w:val="0F4761" w:themeColor="accent1" w:themeShade="BF"/>
      <w:spacing w:val="5"/>
    </w:rPr>
  </w:style>
  <w:style w:type="paragraph" w:styleId="NoSpacing">
    <w:name w:val="No Spacing"/>
    <w:uiPriority w:val="1"/>
    <w:qFormat/>
    <w:rsid w:val="00B11D90"/>
    <w:pPr>
      <w:spacing w:after="0" w:line="240" w:lineRule="auto"/>
    </w:pPr>
    <w:rPr>
      <w:rFonts w:ascii="Arial" w:hAnsi="Arial"/>
      <w:sz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92416">
      <w:bodyDiv w:val="1"/>
      <w:marLeft w:val="0"/>
      <w:marRight w:val="0"/>
      <w:marTop w:val="0"/>
      <w:marBottom w:val="0"/>
      <w:divBdr>
        <w:top w:val="none" w:sz="0" w:space="0" w:color="auto"/>
        <w:left w:val="none" w:sz="0" w:space="0" w:color="auto"/>
        <w:bottom w:val="none" w:sz="0" w:space="0" w:color="auto"/>
        <w:right w:val="none" w:sz="0" w:space="0" w:color="auto"/>
      </w:divBdr>
      <w:divsChild>
        <w:div w:id="2024745880">
          <w:marLeft w:val="0"/>
          <w:marRight w:val="0"/>
          <w:marTop w:val="0"/>
          <w:marBottom w:val="0"/>
          <w:divBdr>
            <w:top w:val="none" w:sz="0" w:space="0" w:color="auto"/>
            <w:left w:val="none" w:sz="0" w:space="0" w:color="auto"/>
            <w:bottom w:val="none" w:sz="0" w:space="0" w:color="auto"/>
            <w:right w:val="none" w:sz="0" w:space="0" w:color="auto"/>
          </w:divBdr>
          <w:divsChild>
            <w:div w:id="81298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805015">
      <w:bodyDiv w:val="1"/>
      <w:marLeft w:val="0"/>
      <w:marRight w:val="0"/>
      <w:marTop w:val="0"/>
      <w:marBottom w:val="0"/>
      <w:divBdr>
        <w:top w:val="none" w:sz="0" w:space="0" w:color="auto"/>
        <w:left w:val="none" w:sz="0" w:space="0" w:color="auto"/>
        <w:bottom w:val="none" w:sz="0" w:space="0" w:color="auto"/>
        <w:right w:val="none" w:sz="0" w:space="0" w:color="auto"/>
      </w:divBdr>
      <w:divsChild>
        <w:div w:id="871921086">
          <w:marLeft w:val="0"/>
          <w:marRight w:val="0"/>
          <w:marTop w:val="0"/>
          <w:marBottom w:val="0"/>
          <w:divBdr>
            <w:top w:val="none" w:sz="0" w:space="0" w:color="auto"/>
            <w:left w:val="none" w:sz="0" w:space="0" w:color="auto"/>
            <w:bottom w:val="none" w:sz="0" w:space="0" w:color="auto"/>
            <w:right w:val="none" w:sz="0" w:space="0" w:color="auto"/>
          </w:divBdr>
          <w:divsChild>
            <w:div w:id="40484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98061">
      <w:bodyDiv w:val="1"/>
      <w:marLeft w:val="0"/>
      <w:marRight w:val="0"/>
      <w:marTop w:val="0"/>
      <w:marBottom w:val="0"/>
      <w:divBdr>
        <w:top w:val="none" w:sz="0" w:space="0" w:color="auto"/>
        <w:left w:val="none" w:sz="0" w:space="0" w:color="auto"/>
        <w:bottom w:val="none" w:sz="0" w:space="0" w:color="auto"/>
        <w:right w:val="none" w:sz="0" w:space="0" w:color="auto"/>
      </w:divBdr>
    </w:div>
    <w:div w:id="1984969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889</Words>
  <Characters>5072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 Solorzano Huguet</dc:creator>
  <cp:keywords/>
  <dc:description/>
  <cp:lastModifiedBy>Jhon Solorzano Huguet</cp:lastModifiedBy>
  <cp:revision>2</cp:revision>
  <dcterms:created xsi:type="dcterms:W3CDTF">2025-05-14T13:15:00Z</dcterms:created>
  <dcterms:modified xsi:type="dcterms:W3CDTF">2025-05-14T13:15:00Z</dcterms:modified>
</cp:coreProperties>
</file>