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Theological Standards (Excerpts)</w:t>
      </w:r>
    </w:p>
    <w:p>
      <w:r>
        <w:t>By Westminster Divines</w:t>
      </w:r>
    </w:p>
    <w:p>
      <w:pPr>
        <w:pStyle w:val="Heading1"/>
      </w:pPr>
      <w:r>
        <w:t>Psalm 23</w:t>
      </w:r>
    </w:p>
    <w:p>
      <w:r>
        <w:t>The Lord is my shepherd; I shall not want. He maketh me to lie down in green pastures: he leadeth me beside the still waters.</w:t>
      </w:r>
    </w:p>
    <w:p>
      <w:pPr>
        <w:pStyle w:val="Heading1"/>
      </w:pPr>
      <w:r>
        <w:t>Question 1</w:t>
      </w:r>
    </w:p>
    <w:p>
      <w:r>
        <w:t>What is the chief end of man? Answer: Man's chief end is to glorify God, and to enjoy him forever.</w:t>
      </w:r>
    </w:p>
    <w:p>
      <w:pPr>
        <w:pStyle w:val="Heading1"/>
      </w:pPr>
      <w:r>
        <w:t>Sermon 5: On the Mount</w:t>
      </w:r>
    </w:p>
    <w:p>
      <w:r>
        <w:t>And seeing the multitudes, he went up into a mountain: and when he was set, his disciples came unto him. And he opened his mouth, and taught them.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