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93C982" w14:textId="360DD2AB" w:rsidR="00FB3F89" w:rsidRPr="003C725A" w:rsidRDefault="0035076C" w:rsidP="00644314">
      <w:pPr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i/>
          <w:color w:val="000000" w:themeColor="text1"/>
        </w:rPr>
        <w:t>The Unfavorable Economics of Measuring the Returns to Advertising</w:t>
      </w:r>
    </w:p>
    <w:p w14:paraId="66A663A8" w14:textId="544731C6" w:rsidR="00FB3F89" w:rsidRPr="003C725A" w:rsidRDefault="00002FEC" w:rsidP="0064431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Randall A. Lewis, Justin M. Rao</w:t>
      </w:r>
    </w:p>
    <w:p w14:paraId="1849FF4C" w14:textId="77777777" w:rsidR="00FB3F89" w:rsidRPr="003C725A" w:rsidRDefault="00FB3F89" w:rsidP="00644314">
      <w:pPr>
        <w:rPr>
          <w:rFonts w:ascii="Times New Roman" w:hAnsi="Times New Roman" w:cs="Times New Roman"/>
          <w:color w:val="000000" w:themeColor="text1"/>
        </w:rPr>
      </w:pPr>
    </w:p>
    <w:p w14:paraId="6CB6D9C0" w14:textId="0B408135" w:rsidR="006A1A2D" w:rsidRPr="003C725A" w:rsidRDefault="00EF4964" w:rsidP="00644314">
      <w:pPr>
        <w:rPr>
          <w:rFonts w:ascii="Times New Roman" w:hAnsi="Times New Roman" w:cs="Times New Roman"/>
          <w:color w:val="000000" w:themeColor="text1"/>
        </w:rPr>
      </w:pPr>
      <w:r w:rsidRPr="003C725A">
        <w:rPr>
          <w:rFonts w:ascii="Times New Roman" w:hAnsi="Times New Roman" w:cs="Times New Roman"/>
          <w:color w:val="000000" w:themeColor="text1"/>
        </w:rPr>
        <w:t>Summary</w:t>
      </w:r>
      <w:r w:rsidR="00FB3F89" w:rsidRPr="003C725A">
        <w:rPr>
          <w:rFonts w:ascii="Times New Roman" w:hAnsi="Times New Roman" w:cs="Times New Roman"/>
          <w:color w:val="000000" w:themeColor="text1"/>
        </w:rPr>
        <w:t xml:space="preserve"> by</w:t>
      </w:r>
      <w:r w:rsidR="00076737" w:rsidRPr="003C725A">
        <w:rPr>
          <w:rFonts w:ascii="Times New Roman" w:hAnsi="Times New Roman" w:cs="Times New Roman"/>
          <w:color w:val="000000" w:themeColor="text1"/>
        </w:rPr>
        <w:t xml:space="preserve"> </w:t>
      </w:r>
      <w:r w:rsidR="0035076C">
        <w:rPr>
          <w:rFonts w:ascii="Times New Roman" w:hAnsi="Times New Roman" w:cs="Times New Roman"/>
          <w:color w:val="000000" w:themeColor="text1"/>
        </w:rPr>
        <w:t>Benjamin Levine</w:t>
      </w:r>
      <w:r w:rsidR="0003319D" w:rsidRPr="003C725A">
        <w:rPr>
          <w:rFonts w:ascii="Times New Roman" w:hAnsi="Times New Roman" w:cs="Times New Roman"/>
          <w:color w:val="000000" w:themeColor="text1"/>
        </w:rPr>
        <w:t xml:space="preserve">, </w:t>
      </w:r>
      <w:r w:rsidR="00FB3F89" w:rsidRPr="003C725A">
        <w:rPr>
          <w:rFonts w:ascii="Times New Roman" w:hAnsi="Times New Roman" w:cs="Times New Roman"/>
          <w:color w:val="000000" w:themeColor="text1"/>
        </w:rPr>
        <w:t>Yegor Tkachenko</w:t>
      </w:r>
      <w:r w:rsidR="006A1A2D" w:rsidRPr="003C725A">
        <w:rPr>
          <w:rFonts w:ascii="Times New Roman" w:hAnsi="Times New Roman" w:cs="Times New Roman"/>
          <w:color w:val="000000" w:themeColor="text1"/>
        </w:rPr>
        <w:t xml:space="preserve"> </w:t>
      </w:r>
    </w:p>
    <w:p w14:paraId="103E7E6F" w14:textId="77777777" w:rsidR="006A1A2D" w:rsidRPr="003C725A" w:rsidRDefault="006A1A2D" w:rsidP="00644314">
      <w:pPr>
        <w:rPr>
          <w:rFonts w:ascii="Times New Roman" w:hAnsi="Times New Roman" w:cs="Times New Roman"/>
          <w:color w:val="000000" w:themeColor="text1"/>
        </w:rPr>
      </w:pPr>
    </w:p>
    <w:p w14:paraId="7BF55FE2" w14:textId="5DA4CD90" w:rsidR="00FB3F89" w:rsidRPr="003C725A" w:rsidRDefault="00462F0C" w:rsidP="00644314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12/08</w:t>
      </w:r>
      <w:r w:rsidR="00203BE5" w:rsidRPr="003C725A">
        <w:rPr>
          <w:rFonts w:ascii="Times New Roman" w:hAnsi="Times New Roman" w:cs="Times New Roman"/>
          <w:color w:val="000000" w:themeColor="text1"/>
        </w:rPr>
        <w:t>/2017</w:t>
      </w:r>
    </w:p>
    <w:p w14:paraId="555D0589" w14:textId="77777777" w:rsidR="00D771CB" w:rsidRPr="00894516" w:rsidRDefault="00D771CB" w:rsidP="00122622">
      <w:pPr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55FDD439" w14:textId="699B5E53" w:rsidR="005F1E96" w:rsidRDefault="00274831" w:rsidP="00BA5A2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A lot of money is spent on advertising, </w:t>
      </w:r>
      <w:r w:rsidR="00551C9E">
        <w:rPr>
          <w:rFonts w:ascii="Times New Roman" w:hAnsi="Times New Roman" w:cs="Times New Roman"/>
          <w:color w:val="000000" w:themeColor="text1"/>
        </w:rPr>
        <w:t xml:space="preserve">but surprisingly little is known </w:t>
      </w:r>
      <w:r w:rsidR="00EA31F4">
        <w:rPr>
          <w:rFonts w:ascii="Times New Roman" w:hAnsi="Times New Roman" w:cs="Times New Roman"/>
          <w:color w:val="000000" w:themeColor="text1"/>
        </w:rPr>
        <w:t>about how effective it is.</w:t>
      </w:r>
    </w:p>
    <w:p w14:paraId="0C8F1EC0" w14:textId="55D5A54C" w:rsidR="00EA31F4" w:rsidRDefault="00EA31F4" w:rsidP="00BA5A20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Why?</w:t>
      </w:r>
    </w:p>
    <w:p w14:paraId="79192CB9" w14:textId="4AC292D3" w:rsidR="00EA31F4" w:rsidRDefault="00EA31F4" w:rsidP="00EA31F4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Endogeneity</w:t>
      </w:r>
    </w:p>
    <w:p w14:paraId="00334AA0" w14:textId="2B614381" w:rsidR="00EA31F4" w:rsidRDefault="00EA31F4" w:rsidP="00EA31F4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Statistical power</w:t>
      </w:r>
    </w:p>
    <w:p w14:paraId="2FA01563" w14:textId="76897E98" w:rsidR="00EA31F4" w:rsidRDefault="00EA31F4" w:rsidP="00EA31F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These guys have unique </w:t>
      </w:r>
      <w:r w:rsidRPr="00EA31F4">
        <w:rPr>
          <w:rFonts w:ascii="Times New Roman" w:hAnsi="Times New Roman" w:cs="Times New Roman"/>
          <w:b/>
          <w:color w:val="000000" w:themeColor="text1"/>
        </w:rPr>
        <w:t>data</w:t>
      </w:r>
      <w:r>
        <w:rPr>
          <w:rFonts w:ascii="Times New Roman" w:hAnsi="Times New Roman" w:cs="Times New Roman"/>
          <w:color w:val="000000" w:themeColor="text1"/>
        </w:rPr>
        <w:t xml:space="preserve"> – 25 individual-level randomized control trials (RCTs) for digital ads, with individual-level tracking of post-exposure activity</w:t>
      </w:r>
    </w:p>
    <w:p w14:paraId="3063F598" w14:textId="151F51A0" w:rsidR="00EA31F4" w:rsidRDefault="00EA31F4" w:rsidP="00EA31F4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Retailers</w:t>
      </w:r>
      <w:r w:rsidR="00F94638">
        <w:rPr>
          <w:rFonts w:ascii="Times New Roman" w:hAnsi="Times New Roman" w:cs="Times New Roman"/>
          <w:color w:val="000000" w:themeColor="text1"/>
        </w:rPr>
        <w:t xml:space="preserve"> (19)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F94638">
        <w:rPr>
          <w:rFonts w:ascii="Times New Roman" w:hAnsi="Times New Roman" w:cs="Times New Roman"/>
          <w:color w:val="000000" w:themeColor="text1"/>
        </w:rPr>
        <w:t>–</w:t>
      </w:r>
      <w:r>
        <w:rPr>
          <w:rFonts w:ascii="Times New Roman" w:hAnsi="Times New Roman" w:cs="Times New Roman"/>
          <w:color w:val="000000" w:themeColor="text1"/>
        </w:rPr>
        <w:t xml:space="preserve"> </w:t>
      </w:r>
      <w:r w:rsidR="00F94638">
        <w:rPr>
          <w:rFonts w:ascii="Times New Roman" w:hAnsi="Times New Roman" w:cs="Times New Roman"/>
          <w:color w:val="000000" w:themeColor="text1"/>
        </w:rPr>
        <w:t>tracking of in-store and online sales (dv)</w:t>
      </w:r>
    </w:p>
    <w:p w14:paraId="2F97B4F8" w14:textId="778DF22F" w:rsidR="00F94638" w:rsidRDefault="00F94638" w:rsidP="00EA31F4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Financial companies (6) – opening of a new account (dv)</w:t>
      </w:r>
    </w:p>
    <w:p w14:paraId="6709DF30" w14:textId="03AA99A5" w:rsidR="00EA67E1" w:rsidRDefault="00EA67E1" w:rsidP="00EA67E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Paper is about measuring ad ROI</w:t>
      </w:r>
    </w:p>
    <w:p w14:paraId="65D3A695" w14:textId="2685398B" w:rsidR="00EA67E1" w:rsidRDefault="00452E49" w:rsidP="00EA67E1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c – cost per user of the campaign</w:t>
      </w:r>
    </w:p>
    <w:p w14:paraId="7354AA2F" w14:textId="67145602" w:rsidR="00222372" w:rsidRDefault="00222372" w:rsidP="00222372">
      <w:pPr>
        <w:pStyle w:val="ListParagraph"/>
        <w:numPr>
          <w:ilvl w:val="2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determines amount of impressions</w:t>
      </w:r>
    </w:p>
    <w:p w14:paraId="76409446" w14:textId="79457129" w:rsidR="00452E49" w:rsidRDefault="00F255BA" w:rsidP="00EA67E1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m:oMath>
        <m:r>
          <w:rPr>
            <w:rFonts w:ascii="Cambria Math" w:hAnsi="Cambria Math" w:cs="Times New Roman"/>
            <w:color w:val="000000" w:themeColor="text1"/>
          </w:rPr>
          <m:t>β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c</m:t>
            </m:r>
          </m:e>
        </m:d>
      </m:oMath>
      <w:r>
        <w:rPr>
          <w:rFonts w:ascii="Times New Roman" w:hAnsi="Times New Roman" w:cs="Times New Roman"/>
          <w:color w:val="000000" w:themeColor="text1"/>
        </w:rPr>
        <w:t xml:space="preserve"> – effect on sales</w:t>
      </w:r>
    </w:p>
    <w:p w14:paraId="27658B96" w14:textId="643F61B3" w:rsidR="00907CB1" w:rsidRDefault="00907CB1" w:rsidP="00907CB1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m – gross margin (</w:t>
      </w:r>
      <w:r w:rsidR="00D4228A">
        <w:rPr>
          <w:rFonts w:ascii="Times New Roman" w:hAnsi="Times New Roman" w:cs="Times New Roman"/>
          <w:color w:val="000000" w:themeColor="text1"/>
        </w:rPr>
        <w:t>r</w:t>
      </w:r>
      <w:r>
        <w:rPr>
          <w:rFonts w:ascii="Times New Roman" w:hAnsi="Times New Roman" w:cs="Times New Roman"/>
          <w:color w:val="000000" w:themeColor="text1"/>
        </w:rPr>
        <w:t xml:space="preserve">evenue </w:t>
      </w:r>
      <w:r w:rsidR="00D4228A">
        <w:rPr>
          <w:rFonts w:ascii="Times New Roman" w:hAnsi="Times New Roman" w:cs="Times New Roman"/>
          <w:color w:val="000000" w:themeColor="text1"/>
        </w:rPr>
        <w:t>minus</w:t>
      </w:r>
      <w:r>
        <w:rPr>
          <w:rFonts w:ascii="Times New Roman" w:hAnsi="Times New Roman" w:cs="Times New Roman"/>
          <w:color w:val="000000" w:themeColor="text1"/>
        </w:rPr>
        <w:t xml:space="preserve"> cost of goods sold removed)</w:t>
      </w:r>
    </w:p>
    <w:p w14:paraId="4EEBAAA1" w14:textId="2AE6AADF" w:rsidR="00907CB1" w:rsidRDefault="00907CB1" w:rsidP="00907CB1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m:oMath>
        <m:r>
          <w:rPr>
            <w:rFonts w:ascii="Cambria Math" w:hAnsi="Cambria Math" w:cs="Times New Roman"/>
            <w:color w:val="000000" w:themeColor="text1"/>
          </w:rPr>
          <m:t>m*β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c</m:t>
            </m:r>
          </m:e>
        </m:d>
      </m:oMath>
      <w:r w:rsidRPr="00907CB1">
        <w:rPr>
          <w:rFonts w:ascii="Times New Roman" w:hAnsi="Times New Roman" w:cs="Times New Roman"/>
          <w:color w:val="000000" w:themeColor="text1"/>
        </w:rPr>
        <w:t xml:space="preserve"> </w:t>
      </w:r>
      <w:r>
        <w:rPr>
          <w:rFonts w:ascii="Times New Roman" w:hAnsi="Times New Roman" w:cs="Times New Roman"/>
          <w:color w:val="000000" w:themeColor="text1"/>
        </w:rPr>
        <w:t>– gross profit per person</w:t>
      </w:r>
    </w:p>
    <w:p w14:paraId="5B0005AD" w14:textId="2CB19C1A" w:rsidR="00907CB1" w:rsidRDefault="00B25FA4" w:rsidP="00907CB1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m:oMath>
        <m:f>
          <m:f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fPr>
          <m:num>
            <m:r>
              <w:rPr>
                <w:rFonts w:ascii="Cambria Math" w:hAnsi="Cambria Math" w:cs="Times New Roman"/>
                <w:color w:val="000000" w:themeColor="text1"/>
              </w:rPr>
              <m:t>m*β</m:t>
            </m:r>
            <m:d>
              <m:dPr>
                <m:ctrlPr>
                  <w:rPr>
                    <w:rFonts w:ascii="Cambria Math" w:hAnsi="Cambria Math" w:cs="Times New Roman"/>
                    <w:i/>
                    <w:color w:val="000000" w:themeColor="text1"/>
                  </w:rPr>
                </m:ctrlPr>
              </m:dPr>
              <m:e>
                <m:r>
                  <w:rPr>
                    <w:rFonts w:ascii="Cambria Math" w:hAnsi="Cambria Math" w:cs="Times New Roman"/>
                    <w:color w:val="000000" w:themeColor="text1"/>
                  </w:rPr>
                  <m:t>c</m:t>
                </m:r>
              </m:e>
            </m:d>
            <m:r>
              <w:rPr>
                <w:rFonts w:ascii="Cambria Math" w:hAnsi="Cambria Math" w:cs="Times New Roman"/>
                <w:color w:val="000000" w:themeColor="text1"/>
              </w:rPr>
              <m:t>-c</m:t>
            </m:r>
          </m:num>
          <m:den>
            <m:r>
              <w:rPr>
                <w:rFonts w:ascii="Cambria Math" w:hAnsi="Cambria Math" w:cs="Times New Roman"/>
                <w:color w:val="000000" w:themeColor="text1"/>
              </w:rPr>
              <m:t>c</m:t>
            </m:r>
          </m:den>
        </m:f>
      </m:oMath>
      <w:r w:rsidR="00907CB1">
        <w:rPr>
          <w:rFonts w:ascii="Times New Roman" w:hAnsi="Times New Roman" w:cs="Times New Roman"/>
          <w:color w:val="000000" w:themeColor="text1"/>
        </w:rPr>
        <w:t xml:space="preserve"> – ROI</w:t>
      </w:r>
    </w:p>
    <w:p w14:paraId="54AB6F30" w14:textId="215CB44C" w:rsidR="00EA5BD6" w:rsidRDefault="00EA5BD6" w:rsidP="00B75CD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-100% - no effect</w:t>
      </w:r>
      <w:bookmarkStart w:id="0" w:name="_GoBack"/>
      <w:bookmarkEnd w:id="0"/>
      <w:r>
        <w:rPr>
          <w:rFonts w:ascii="Times New Roman" w:hAnsi="Times New Roman" w:cs="Times New Roman"/>
          <w:color w:val="000000" w:themeColor="text1"/>
        </w:rPr>
        <w:t xml:space="preserve"> </w:t>
      </w:r>
    </w:p>
    <w:p w14:paraId="714955AD" w14:textId="4687ED40" w:rsidR="00B75CD7" w:rsidRPr="00B75CD7" w:rsidRDefault="00B75CD7" w:rsidP="00B75CD7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0% - break even</w:t>
      </w:r>
    </w:p>
    <w:p w14:paraId="20791FBA" w14:textId="7D394F66" w:rsidR="00EA67E1" w:rsidRDefault="00EA67E1" w:rsidP="00907CB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907CB1">
        <w:rPr>
          <w:rFonts w:ascii="Times New Roman" w:hAnsi="Times New Roman" w:cs="Times New Roman"/>
          <w:color w:val="000000" w:themeColor="text1"/>
        </w:rPr>
        <w:t xml:space="preserve">Key argument is that </w:t>
      </w:r>
      <w:r w:rsidR="00B75CD7">
        <w:rPr>
          <w:rFonts w:ascii="Times New Roman" w:hAnsi="Times New Roman" w:cs="Times New Roman"/>
          <w:color w:val="000000" w:themeColor="text1"/>
        </w:rPr>
        <w:t xml:space="preserve">ROI of </w:t>
      </w:r>
      <w:r w:rsidR="003E07F6">
        <w:rPr>
          <w:rFonts w:ascii="Times New Roman" w:hAnsi="Times New Roman" w:cs="Times New Roman"/>
          <w:color w:val="000000" w:themeColor="text1"/>
        </w:rPr>
        <w:t>2</w:t>
      </w:r>
      <w:r w:rsidR="00E848EA">
        <w:rPr>
          <w:rFonts w:ascii="Times New Roman" w:hAnsi="Times New Roman" w:cs="Times New Roman"/>
          <w:color w:val="000000" w:themeColor="text1"/>
        </w:rPr>
        <w:t>5</w:t>
      </w:r>
      <w:r w:rsidR="00B75CD7">
        <w:rPr>
          <w:rFonts w:ascii="Times New Roman" w:hAnsi="Times New Roman" w:cs="Times New Roman"/>
          <w:color w:val="000000" w:themeColor="text1"/>
        </w:rPr>
        <w:t xml:space="preserve">% </w:t>
      </w:r>
      <w:r w:rsidR="00602B52">
        <w:rPr>
          <w:rFonts w:ascii="Times New Roman" w:hAnsi="Times New Roman" w:cs="Times New Roman"/>
          <w:color w:val="000000" w:themeColor="text1"/>
        </w:rPr>
        <w:t>is</w:t>
      </w:r>
      <w:r w:rsidR="00B75CD7">
        <w:rPr>
          <w:rFonts w:ascii="Times New Roman" w:hAnsi="Times New Roman" w:cs="Times New Roman"/>
          <w:color w:val="000000" w:themeColor="text1"/>
        </w:rPr>
        <w:t xml:space="preserve"> considered substantial, but it translates into very small effect</w:t>
      </w:r>
      <w:r w:rsidR="00602B52">
        <w:rPr>
          <w:rFonts w:ascii="Times New Roman" w:hAnsi="Times New Roman" w:cs="Times New Roman"/>
          <w:color w:val="000000" w:themeColor="text1"/>
        </w:rPr>
        <w:t xml:space="preserve"> size</w:t>
      </w:r>
      <w:r w:rsidR="00B75CD7">
        <w:rPr>
          <w:rFonts w:ascii="Times New Roman" w:hAnsi="Times New Roman" w:cs="Times New Roman"/>
          <w:color w:val="000000" w:themeColor="text1"/>
        </w:rPr>
        <w:t xml:space="preserve"> </w:t>
      </w:r>
      <m:oMath>
        <m:r>
          <w:rPr>
            <w:rFonts w:ascii="Cambria Math" w:hAnsi="Cambria Math" w:cs="Times New Roman"/>
            <w:color w:val="000000" w:themeColor="text1"/>
          </w:rPr>
          <m:t>β</m:t>
        </m:r>
        <m:d>
          <m:d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dPr>
          <m:e>
            <m:r>
              <w:rPr>
                <w:rFonts w:ascii="Cambria Math" w:hAnsi="Cambria Math" w:cs="Times New Roman"/>
                <w:color w:val="000000" w:themeColor="text1"/>
              </w:rPr>
              <m:t>c</m:t>
            </m:r>
          </m:e>
        </m:d>
      </m:oMath>
      <w:r w:rsidR="00B75CD7">
        <w:rPr>
          <w:rFonts w:ascii="Times New Roman" w:hAnsi="Times New Roman" w:cs="Times New Roman"/>
          <w:color w:val="000000" w:themeColor="text1"/>
        </w:rPr>
        <w:t xml:space="preserve"> relative to the general variance in the dependent variable</w:t>
      </w:r>
      <w:r w:rsidRPr="00907CB1">
        <w:rPr>
          <w:rFonts w:ascii="Times New Roman" w:hAnsi="Times New Roman" w:cs="Times New Roman"/>
          <w:color w:val="000000" w:themeColor="text1"/>
        </w:rPr>
        <w:t>,</w:t>
      </w:r>
      <w:r w:rsidR="00B75CD7">
        <w:rPr>
          <w:rFonts w:ascii="Times New Roman" w:hAnsi="Times New Roman" w:cs="Times New Roman"/>
          <w:color w:val="000000" w:themeColor="text1"/>
        </w:rPr>
        <w:t xml:space="preserve"> and so</w:t>
      </w:r>
      <w:r w:rsidRPr="00907CB1">
        <w:rPr>
          <w:rFonts w:ascii="Times New Roman" w:hAnsi="Times New Roman" w:cs="Times New Roman"/>
          <w:color w:val="000000" w:themeColor="text1"/>
        </w:rPr>
        <w:t xml:space="preserve"> the sample size has to be incredibly large to </w:t>
      </w:r>
      <w:r w:rsidR="00602B52">
        <w:rPr>
          <w:rFonts w:ascii="Times New Roman" w:hAnsi="Times New Roman" w:cs="Times New Roman"/>
          <w:color w:val="000000" w:themeColor="text1"/>
        </w:rPr>
        <w:t>pick up this</w:t>
      </w:r>
      <w:r w:rsidRPr="00907CB1">
        <w:rPr>
          <w:rFonts w:ascii="Times New Roman" w:hAnsi="Times New Roman" w:cs="Times New Roman"/>
          <w:color w:val="000000" w:themeColor="text1"/>
        </w:rPr>
        <w:t xml:space="preserve"> very weak signal</w:t>
      </w:r>
      <w:r w:rsidR="00602B52">
        <w:rPr>
          <w:rFonts w:ascii="Times New Roman" w:hAnsi="Times New Roman" w:cs="Times New Roman"/>
          <w:color w:val="000000" w:themeColor="text1"/>
        </w:rPr>
        <w:t xml:space="preserve"> in the noise – often beyond what</w:t>
      </w:r>
      <w:r w:rsidRPr="00907CB1">
        <w:rPr>
          <w:rFonts w:ascii="Times New Roman" w:hAnsi="Times New Roman" w:cs="Times New Roman"/>
          <w:color w:val="000000" w:themeColor="text1"/>
        </w:rPr>
        <w:t xml:space="preserve"> advertisers</w:t>
      </w:r>
      <w:r w:rsidR="00602B52">
        <w:rPr>
          <w:rFonts w:ascii="Times New Roman" w:hAnsi="Times New Roman" w:cs="Times New Roman"/>
          <w:color w:val="000000" w:themeColor="text1"/>
        </w:rPr>
        <w:t xml:space="preserve"> can afford.</w:t>
      </w:r>
    </w:p>
    <w:p w14:paraId="4F4BE383" w14:textId="77777777" w:rsidR="00B75CD7" w:rsidRDefault="00B75CD7" w:rsidP="005E627C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B75CD7">
        <w:rPr>
          <w:rFonts w:ascii="Times New Roman" w:hAnsi="Times New Roman" w:cs="Times New Roman"/>
          <w:color w:val="000000" w:themeColor="text1"/>
        </w:rPr>
        <w:t>Quantitative arg</w:t>
      </w:r>
      <w:r>
        <w:rPr>
          <w:rFonts w:ascii="Times New Roman" w:hAnsi="Times New Roman" w:cs="Times New Roman"/>
          <w:color w:val="000000" w:themeColor="text1"/>
        </w:rPr>
        <w:t>ument</w:t>
      </w:r>
    </w:p>
    <w:p w14:paraId="124A0635" w14:textId="2D6400BE" w:rsidR="00B75CD7" w:rsidRDefault="00B75CD7" w:rsidP="005E627C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noProof/>
          <w:lang w:eastAsia="en-US"/>
        </w:rPr>
        <w:drawing>
          <wp:inline distT="0" distB="0" distL="0" distR="0" wp14:anchorId="61E9336A" wp14:editId="17D25A92">
            <wp:extent cx="4049672" cy="348311"/>
            <wp:effectExtent l="0" t="0" r="0" b="7620"/>
            <wp:docPr id="2" name="Picture 2" descr="../../../Desktop/Screen%20Shot%202017-12-02%20at%208.40.08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2-02%20at%208.40.08%20PM.p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350" cy="36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7F464" w14:textId="0551C590" w:rsidR="00602B52" w:rsidRPr="00B75CD7" w:rsidRDefault="00602B52" w:rsidP="005E627C">
      <w:pPr>
        <w:rPr>
          <w:rFonts w:ascii="Times New Roman" w:hAnsi="Times New Roman" w:cs="Times New Roman"/>
          <w:color w:val="000000" w:themeColor="text1"/>
        </w:rPr>
      </w:pPr>
      <m:oMath>
        <m:r>
          <w:rPr>
            <w:rFonts w:ascii="Cambria Math" w:hAnsi="Cambria Math" w:cs="Times New Roman"/>
            <w:color w:val="000000" w:themeColor="text1"/>
          </w:rPr>
          <m:t>β</m:t>
        </m:r>
      </m:oMath>
      <w:r>
        <w:rPr>
          <w:rFonts w:ascii="Times New Roman" w:hAnsi="Times New Roman" w:cs="Times New Roman"/>
          <w:color w:val="000000" w:themeColor="text1"/>
        </w:rPr>
        <w:t xml:space="preserve"> is the </w:t>
      </w:r>
      <w:r w:rsidR="00F27520">
        <w:rPr>
          <w:rFonts w:ascii="Times New Roman" w:hAnsi="Times New Roman" w:cs="Times New Roman"/>
          <w:color w:val="000000" w:themeColor="text1"/>
        </w:rPr>
        <w:t xml:space="preserve">avg. </w:t>
      </w:r>
      <w:r>
        <w:rPr>
          <w:rFonts w:ascii="Times New Roman" w:hAnsi="Times New Roman" w:cs="Times New Roman"/>
          <w:color w:val="000000" w:themeColor="text1"/>
        </w:rPr>
        <w:t xml:space="preserve">effect size,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</w:rPr>
              <m:t>x</m:t>
            </m:r>
          </m:e>
          <m:sub>
            <m:r>
              <w:rPr>
                <w:rFonts w:ascii="Cambria Math" w:hAnsi="Cambria Math" w:cs="Times New Roman"/>
                <w:color w:val="000000" w:themeColor="text1"/>
              </w:rPr>
              <m:t>i</m:t>
            </m:r>
          </m:sub>
        </m:sSub>
      </m:oMath>
      <w:r w:rsidR="00F27520">
        <w:rPr>
          <w:rFonts w:ascii="Times New Roman" w:hAnsi="Times New Roman" w:cs="Times New Roman"/>
          <w:color w:val="000000" w:themeColor="text1"/>
        </w:rPr>
        <w:t xml:space="preserve"> is the dummy for exposure to the ad. We assume equal variance in exposed and unexposed groups. Then, using </w:t>
      </w:r>
      <w:r w:rsidR="00366B47">
        <w:rPr>
          <w:rFonts w:ascii="Times New Roman" w:hAnsi="Times New Roman" w:cs="Times New Roman"/>
          <w:color w:val="000000" w:themeColor="text1"/>
        </w:rPr>
        <w:t xml:space="preserve">the </w:t>
      </w:r>
      <w:r w:rsidR="00F27520">
        <w:rPr>
          <w:rFonts w:ascii="Times New Roman" w:hAnsi="Times New Roman" w:cs="Times New Roman"/>
          <w:color w:val="000000" w:themeColor="text1"/>
        </w:rPr>
        <w:t>following equations, we can calculate partial R</w:t>
      </w:r>
      <w:r w:rsidR="00F27520" w:rsidRPr="00366B47">
        <w:rPr>
          <w:rFonts w:ascii="Times New Roman" w:hAnsi="Times New Roman" w:cs="Times New Roman"/>
          <w:color w:val="000000" w:themeColor="text1"/>
          <w:vertAlign w:val="superscript"/>
        </w:rPr>
        <w:t>2</w:t>
      </w:r>
      <w:r w:rsidR="00F27520">
        <w:rPr>
          <w:rFonts w:ascii="Times New Roman" w:hAnsi="Times New Roman" w:cs="Times New Roman"/>
          <w:color w:val="000000" w:themeColor="text1"/>
        </w:rPr>
        <w:t xml:space="preserve">, </w:t>
      </w:r>
      <w:r w:rsidR="00366B47">
        <w:rPr>
          <w:rFonts w:ascii="Times New Roman" w:hAnsi="Times New Roman" w:cs="Times New Roman"/>
          <w:color w:val="000000" w:themeColor="text1"/>
        </w:rPr>
        <w:t>conditioning on</w:t>
      </w:r>
      <w:r w:rsidR="00F27520">
        <w:rPr>
          <w:rFonts w:ascii="Times New Roman" w:hAnsi="Times New Roman" w:cs="Times New Roman"/>
          <w:color w:val="000000" w:themeColor="text1"/>
        </w:rPr>
        <w:t xml:space="preserve"> other covariates.</w:t>
      </w:r>
    </w:p>
    <w:p w14:paraId="7BE94F6E" w14:textId="1AB08344" w:rsidR="00B75CD7" w:rsidRDefault="00B75CD7" w:rsidP="005E627C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noProof/>
          <w:lang w:eastAsia="en-US"/>
        </w:rPr>
        <w:drawing>
          <wp:inline distT="0" distB="0" distL="0" distR="0" wp14:anchorId="122804BB" wp14:editId="17C4A5E4">
            <wp:extent cx="3169645" cy="1527420"/>
            <wp:effectExtent l="0" t="0" r="5715" b="0"/>
            <wp:docPr id="3" name="Picture 3" descr="../../../Desktop/Screen%20Shot%202017-12-02%20at%208.40.13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12-02%20at%208.40.13%20PM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594" cy="158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89748" w14:textId="2B974F85" w:rsidR="00B75CD7" w:rsidRDefault="00B75CD7" w:rsidP="005E627C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en-US"/>
        </w:rPr>
        <w:drawing>
          <wp:inline distT="0" distB="0" distL="0" distR="0" wp14:anchorId="10F111DB" wp14:editId="3E6D90A6">
            <wp:extent cx="2982872" cy="563071"/>
            <wp:effectExtent l="0" t="0" r="0" b="0"/>
            <wp:docPr id="4" name="Picture 4" descr="../../../Desktop/Screen%20Shot%202017-12-02%20at%208.40.20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12-02%20at%208.40.20%20PM.p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352" cy="64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3DCD7" w14:textId="50442DE8" w:rsidR="00AB6155" w:rsidRDefault="00AB6155" w:rsidP="005E627C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en-US"/>
        </w:rPr>
        <w:lastRenderedPageBreak/>
        <w:drawing>
          <wp:inline distT="0" distB="0" distL="0" distR="0" wp14:anchorId="6AE2EAD1" wp14:editId="410E193B">
            <wp:extent cx="3592472" cy="653297"/>
            <wp:effectExtent l="0" t="0" r="0" b="7620"/>
            <wp:docPr id="7" name="Picture 7" descr="../../../Desktop/Screen%20Shot%202017-12-02%20at%208.57.34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12-02%20at%208.57.34%20PM.p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067" cy="678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04F2" w14:textId="6DB5CDCE" w:rsidR="009E59B6" w:rsidRDefault="009E59B6" w:rsidP="005E627C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 w:rsidRPr="002151C2">
        <w:rPr>
          <w:rFonts w:ascii="Times New Roman" w:hAnsi="Times New Roman" w:cs="Times New Roman"/>
          <w:color w:val="000000" w:themeColor="text1"/>
          <w:sz w:val="20"/>
          <w:szCs w:val="20"/>
        </w:rPr>
        <w:t>Also known as Cohen’s d.</w:t>
      </w:r>
    </w:p>
    <w:p w14:paraId="4547C39A" w14:textId="77777777" w:rsidR="002151C2" w:rsidRPr="002151C2" w:rsidRDefault="002151C2" w:rsidP="005E627C">
      <w:pPr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</w:p>
    <w:p w14:paraId="05F17CC5" w14:textId="194F7512" w:rsidR="00B75CD7" w:rsidRDefault="00EF0D44" w:rsidP="00EF0D44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en-US"/>
        </w:rPr>
        <w:drawing>
          <wp:inline distT="0" distB="0" distL="0" distR="0" wp14:anchorId="5FABEE23" wp14:editId="2C4CFED8">
            <wp:extent cx="3620367" cy="1123931"/>
            <wp:effectExtent l="0" t="0" r="0" b="0"/>
            <wp:docPr id="1" name="Picture 1" descr="../../../Desktop/Screen%20Shot%202017-12-03%20at%201.23.28%20A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2-03%20at%201.23.28%20AM.pn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21"/>
                    <a:stretch/>
                  </pic:blipFill>
                  <pic:spPr bwMode="auto">
                    <a:xfrm>
                      <a:off x="0" y="0"/>
                      <a:ext cx="3673723" cy="114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BF0E9" w14:textId="7AB0F070" w:rsidR="00B75CD7" w:rsidRDefault="00B75CD7" w:rsidP="005E627C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en-US"/>
        </w:rPr>
        <w:drawing>
          <wp:inline distT="0" distB="0" distL="0" distR="0" wp14:anchorId="22407989" wp14:editId="3AB55DC6">
            <wp:extent cx="3592472" cy="1941745"/>
            <wp:effectExtent l="0" t="0" r="0" b="0"/>
            <wp:docPr id="5" name="Picture 5" descr="../../../Desktop/Screen%20Shot%202017-12-02%20at%208.41.27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12-02%20at%208.41.27%20PM.p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724" cy="1958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EE9BA" w14:textId="77777777" w:rsidR="00873948" w:rsidRDefault="00873948" w:rsidP="005E627C">
      <w:pPr>
        <w:jc w:val="center"/>
        <w:rPr>
          <w:rFonts w:ascii="Times New Roman" w:hAnsi="Times New Roman" w:cs="Times New Roman"/>
          <w:color w:val="000000" w:themeColor="text1"/>
        </w:rPr>
      </w:pPr>
    </w:p>
    <w:p w14:paraId="416B8D1E" w14:textId="3FC97857" w:rsidR="00AB6155" w:rsidRDefault="000F6E39" w:rsidP="005E627C">
      <w:pPr>
        <w:jc w:val="center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en-US"/>
        </w:rPr>
        <w:drawing>
          <wp:inline distT="0" distB="0" distL="0" distR="0" wp14:anchorId="390A7DE9" wp14:editId="5258F819">
            <wp:extent cx="3598485" cy="2539847"/>
            <wp:effectExtent l="0" t="0" r="8890" b="635"/>
            <wp:docPr id="8" name="Picture 8" descr="../../../Desktop/Screen%20Shot%202017-12-02%20at%208.58.41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12-02%20at%208.58.41%20PM.p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715" cy="2577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760A6" w14:textId="77777777" w:rsidR="000F6E39" w:rsidRDefault="000F6E39" w:rsidP="00B75CD7">
      <w:pPr>
        <w:rPr>
          <w:rFonts w:ascii="Times New Roman" w:hAnsi="Times New Roman" w:cs="Times New Roman"/>
          <w:color w:val="000000" w:themeColor="text1"/>
        </w:rPr>
      </w:pPr>
    </w:p>
    <w:p w14:paraId="48E14B6B" w14:textId="1436A9B0" w:rsidR="000F6E39" w:rsidRDefault="000F6E39" w:rsidP="00F0575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 w:rsidRPr="000F6E39">
        <w:rPr>
          <w:rFonts w:ascii="Times New Roman" w:hAnsi="Times New Roman" w:cs="Times New Roman"/>
          <w:color w:val="000000" w:themeColor="text1"/>
        </w:rPr>
        <w:t xml:space="preserve">Moreover, it means that observational studies are </w:t>
      </w:r>
      <w:r w:rsidR="00485856">
        <w:rPr>
          <w:rFonts w:ascii="Times New Roman" w:hAnsi="Times New Roman" w:cs="Times New Roman"/>
          <w:color w:val="000000" w:themeColor="text1"/>
        </w:rPr>
        <w:t xml:space="preserve">usually </w:t>
      </w:r>
      <w:r w:rsidRPr="000F6E39">
        <w:rPr>
          <w:rFonts w:ascii="Times New Roman" w:hAnsi="Times New Roman" w:cs="Times New Roman"/>
          <w:color w:val="000000" w:themeColor="text1"/>
        </w:rPr>
        <w:t>crap – smallest amount of endogeneity is enough to completely overwhelm and bias the true signal</w:t>
      </w:r>
      <w:r>
        <w:rPr>
          <w:rFonts w:ascii="Times New Roman" w:hAnsi="Times New Roman" w:cs="Times New Roman"/>
          <w:color w:val="000000" w:themeColor="text1"/>
        </w:rPr>
        <w:t>.</w:t>
      </w:r>
    </w:p>
    <w:p w14:paraId="6286C607" w14:textId="0B4AB88A" w:rsidR="000F6E39" w:rsidRDefault="000F6E39" w:rsidP="000F6E39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E.g., it is known that R</w:t>
      </w:r>
      <w:r>
        <w:rPr>
          <w:rFonts w:ascii="Times New Roman" w:hAnsi="Times New Roman" w:cs="Times New Roman"/>
          <w:color w:val="000000" w:themeColor="text1"/>
          <w:vertAlign w:val="superscript"/>
        </w:rPr>
        <w:t>2</w:t>
      </w:r>
      <w:r>
        <w:rPr>
          <w:rFonts w:ascii="Times New Roman" w:hAnsi="Times New Roman" w:cs="Times New Roman"/>
          <w:color w:val="000000" w:themeColor="text1"/>
        </w:rPr>
        <w:t xml:space="preserve"> due to intertemporal correlation between web browsing (ad exposure) and shopping is around 0.0001 – this is magnitude larger than R</w:t>
      </w:r>
      <w:r>
        <w:rPr>
          <w:rFonts w:ascii="Times New Roman" w:hAnsi="Times New Roman" w:cs="Times New Roman"/>
          <w:color w:val="000000" w:themeColor="text1"/>
          <w:vertAlign w:val="superscript"/>
        </w:rPr>
        <w:t>2</w:t>
      </w:r>
      <w:r>
        <w:rPr>
          <w:rFonts w:ascii="Times New Roman" w:hAnsi="Times New Roman" w:cs="Times New Roman"/>
          <w:color w:val="000000" w:themeColor="text1"/>
        </w:rPr>
        <w:t xml:space="preserve"> above – enough to totally bias the estimate</w:t>
      </w:r>
    </w:p>
    <w:p w14:paraId="0CE78CF3" w14:textId="33D358A1" w:rsidR="001749C3" w:rsidRDefault="001749C3" w:rsidP="001749C3">
      <w:pPr>
        <w:pStyle w:val="ListParagraph"/>
        <w:numPr>
          <w:ilvl w:val="2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Basically, we see too much content in our lives to have an accurate estimate of the causal impact of seeing any one ad specifically</w:t>
      </w:r>
    </w:p>
    <w:p w14:paraId="002A684C" w14:textId="0D9EC88F" w:rsidR="00473114" w:rsidRDefault="00473114" w:rsidP="00473114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>Other problems</w:t>
      </w:r>
    </w:p>
    <w:p w14:paraId="75EFDA83" w14:textId="687DD12E" w:rsidR="00473114" w:rsidRDefault="00473114" w:rsidP="00473114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Error terms on coefficients are large </w:t>
      </w:r>
      <w:r w:rsidR="00D363D0">
        <w:rPr>
          <w:rFonts w:ascii="Times New Roman" w:hAnsi="Times New Roman" w:cs="Times New Roman"/>
          <w:color w:val="000000" w:themeColor="text1"/>
        </w:rPr>
        <w:t>– median confidence interval is about 100%</w:t>
      </w:r>
    </w:p>
    <w:p w14:paraId="79AA2730" w14:textId="0326447C" w:rsidR="009C4CD0" w:rsidRDefault="009C4CD0" w:rsidP="00473114">
      <w:pPr>
        <w:pStyle w:val="ListParagraph"/>
        <w:numPr>
          <w:ilvl w:val="1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Larger per-person spend campaigns easier to measure, as are campaigns with lower sales variance</w:t>
      </w:r>
    </w:p>
    <w:p w14:paraId="6E1DFE05" w14:textId="2C719BCD" w:rsidR="009C4CD0" w:rsidRPr="000F6E39" w:rsidRDefault="009C4CD0" w:rsidP="009C4CD0">
      <w:pPr>
        <w:pStyle w:val="ListParagraph"/>
        <w:numPr>
          <w:ilvl w:val="2"/>
          <w:numId w:val="20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>Even still, distinguishing 50% from 0% ROI is typically not possible with a $100,000 experiment involving millions of indiviudals</w:t>
      </w:r>
    </w:p>
    <w:p w14:paraId="3DE49DFA" w14:textId="3FBBAB0F" w:rsidR="00B92071" w:rsidRDefault="00AB6155" w:rsidP="00B75CD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en-US"/>
        </w:rPr>
        <w:drawing>
          <wp:inline distT="0" distB="0" distL="0" distR="0" wp14:anchorId="2BE77428" wp14:editId="105A68A6">
            <wp:extent cx="3188329" cy="4790440"/>
            <wp:effectExtent l="0" t="0" r="12700" b="10160"/>
            <wp:docPr id="6" name="Picture 6" descr="../../../Desktop/Screen%20Shot%202017-12-02%20at%208.41.44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2-02%20at%208.41.44%20PM.pn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095" cy="49778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2071">
        <w:rPr>
          <w:rFonts w:ascii="Times New Roman" w:hAnsi="Times New Roman" w:cs="Times New Roman"/>
          <w:noProof/>
          <w:color w:val="000000" w:themeColor="text1"/>
          <w:lang w:eastAsia="en-US"/>
        </w:rPr>
        <w:drawing>
          <wp:inline distT="0" distB="0" distL="0" distR="0" wp14:anchorId="02A24597" wp14:editId="35867A00">
            <wp:extent cx="2980523" cy="4571856"/>
            <wp:effectExtent l="0" t="0" r="0" b="635"/>
            <wp:docPr id="9" name="Picture 9" descr="../../../Desktop/Screen%20Shot%202017-12-02%20at%209.04.57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12-02%20at%209.04.57%20PM.pn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523" cy="4571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81E30" w14:textId="6D1A37BB" w:rsidR="00B92071" w:rsidRDefault="00F36C75" w:rsidP="00B75CD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en-US"/>
        </w:rPr>
        <w:drawing>
          <wp:inline distT="0" distB="0" distL="0" distR="0" wp14:anchorId="21D8E052" wp14:editId="20EA2C5F">
            <wp:extent cx="2772953" cy="2250440"/>
            <wp:effectExtent l="0" t="0" r="0" b="10160"/>
            <wp:docPr id="11" name="Picture 11" descr="../../../Desktop/Screen%20Shot%202017-12-02%20at%209.05.34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12-02%20at%209.05.34%20PM.pn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684" cy="226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350AC" w14:textId="48C5D14E" w:rsidR="00B92071" w:rsidRDefault="00B92071" w:rsidP="00B75CD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en-US"/>
        </w:rPr>
        <w:lastRenderedPageBreak/>
        <w:drawing>
          <wp:inline distT="0" distB="0" distL="0" distR="0" wp14:anchorId="7CE96BD1" wp14:editId="531C700F">
            <wp:extent cx="3455706" cy="5171440"/>
            <wp:effectExtent l="0" t="0" r="0" b="10160"/>
            <wp:docPr id="10" name="Picture 10" descr="../../../Desktop/Screen%20Shot%202017-12-02%20at%209.05.09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12-02%20at%209.05.09%20PM.pn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2121" cy="519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B7BAB" w14:textId="77777777" w:rsidR="00B92071" w:rsidRDefault="00B92071" w:rsidP="00B75CD7">
      <w:pPr>
        <w:rPr>
          <w:rFonts w:ascii="Times New Roman" w:hAnsi="Times New Roman" w:cs="Times New Roman"/>
          <w:color w:val="000000" w:themeColor="text1"/>
        </w:rPr>
      </w:pPr>
    </w:p>
    <w:p w14:paraId="73662F93" w14:textId="2537EA0A" w:rsidR="00B92071" w:rsidRPr="00B75CD7" w:rsidRDefault="00C941DB" w:rsidP="00B75CD7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noProof/>
          <w:color w:val="000000" w:themeColor="text1"/>
          <w:lang w:eastAsia="en-US"/>
        </w:rPr>
        <w:drawing>
          <wp:inline distT="0" distB="0" distL="0" distR="0" wp14:anchorId="66FD843F" wp14:editId="248FCF5A">
            <wp:extent cx="2958188" cy="2484079"/>
            <wp:effectExtent l="0" t="0" r="0" b="5715"/>
            <wp:docPr id="12" name="Picture 12" descr="../../../Desktop/Screen%20Shot%202017-12-02%20at%209.06.58%20P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12-02%20at%209.06.58%20PM.pn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306" cy="250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2071" w:rsidRPr="00B75CD7" w:rsidSect="003C725A">
      <w:pgSz w:w="12240" w:h="15840"/>
      <w:pgMar w:top="1440" w:right="1080" w:bottom="1440" w:left="1080" w:header="720" w:footer="720" w:gutter="0"/>
      <w:cols w:space="720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2E4B68F" w14:textId="77777777" w:rsidR="00B25FA4" w:rsidRDefault="00B25FA4" w:rsidP="003C725A">
      <w:r>
        <w:separator/>
      </w:r>
    </w:p>
  </w:endnote>
  <w:endnote w:type="continuationSeparator" w:id="0">
    <w:p w14:paraId="57EB9E9D" w14:textId="77777777" w:rsidR="00B25FA4" w:rsidRDefault="00B25FA4" w:rsidP="003C72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A90823" w14:textId="77777777" w:rsidR="00B25FA4" w:rsidRDefault="00B25FA4" w:rsidP="003C725A">
      <w:r>
        <w:separator/>
      </w:r>
    </w:p>
  </w:footnote>
  <w:footnote w:type="continuationSeparator" w:id="0">
    <w:p w14:paraId="6D571415" w14:textId="77777777" w:rsidR="00B25FA4" w:rsidRDefault="00B25FA4" w:rsidP="003C72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F617C"/>
    <w:multiLevelType w:val="hybridMultilevel"/>
    <w:tmpl w:val="2BA6C9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A075F58"/>
    <w:multiLevelType w:val="hybridMultilevel"/>
    <w:tmpl w:val="0310F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F16CAD"/>
    <w:multiLevelType w:val="hybridMultilevel"/>
    <w:tmpl w:val="39DADD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43309B4"/>
    <w:multiLevelType w:val="hybridMultilevel"/>
    <w:tmpl w:val="0784B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94B1947"/>
    <w:multiLevelType w:val="hybridMultilevel"/>
    <w:tmpl w:val="C4CC6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236156"/>
    <w:multiLevelType w:val="multilevel"/>
    <w:tmpl w:val="E370D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D521726"/>
    <w:multiLevelType w:val="hybridMultilevel"/>
    <w:tmpl w:val="A57C31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110273E"/>
    <w:multiLevelType w:val="multilevel"/>
    <w:tmpl w:val="70E452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1F450CA"/>
    <w:multiLevelType w:val="hybridMultilevel"/>
    <w:tmpl w:val="152690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5181B4D"/>
    <w:multiLevelType w:val="hybridMultilevel"/>
    <w:tmpl w:val="33DAA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3334620"/>
    <w:multiLevelType w:val="hybridMultilevel"/>
    <w:tmpl w:val="FB1C1A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3346A46"/>
    <w:multiLevelType w:val="hybridMultilevel"/>
    <w:tmpl w:val="BA6E8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5F213FD"/>
    <w:multiLevelType w:val="hybridMultilevel"/>
    <w:tmpl w:val="884EBFE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9E179E9"/>
    <w:multiLevelType w:val="hybridMultilevel"/>
    <w:tmpl w:val="48648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B135F63"/>
    <w:multiLevelType w:val="hybridMultilevel"/>
    <w:tmpl w:val="296456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D6573B1"/>
    <w:multiLevelType w:val="hybridMultilevel"/>
    <w:tmpl w:val="2EF6F2B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56525169"/>
    <w:multiLevelType w:val="hybridMultilevel"/>
    <w:tmpl w:val="6806448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59776D6B"/>
    <w:multiLevelType w:val="hybridMultilevel"/>
    <w:tmpl w:val="E88CE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9EC6A30"/>
    <w:multiLevelType w:val="hybridMultilevel"/>
    <w:tmpl w:val="030E6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BDE12C6"/>
    <w:multiLevelType w:val="hybridMultilevel"/>
    <w:tmpl w:val="8200A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D97291C"/>
    <w:multiLevelType w:val="hybridMultilevel"/>
    <w:tmpl w:val="66C03FD2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F645612"/>
    <w:multiLevelType w:val="hybridMultilevel"/>
    <w:tmpl w:val="60A04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89E3453"/>
    <w:multiLevelType w:val="hybridMultilevel"/>
    <w:tmpl w:val="8200A1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A1D2068"/>
    <w:multiLevelType w:val="hybridMultilevel"/>
    <w:tmpl w:val="CE7E50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F100FDB"/>
    <w:multiLevelType w:val="hybridMultilevel"/>
    <w:tmpl w:val="09A8C0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7A9C7CD8"/>
    <w:multiLevelType w:val="hybridMultilevel"/>
    <w:tmpl w:val="9B2C8B7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F0E20AE"/>
    <w:multiLevelType w:val="hybridMultilevel"/>
    <w:tmpl w:val="EC088F4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F984A65"/>
    <w:multiLevelType w:val="hybridMultilevel"/>
    <w:tmpl w:val="826CD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3"/>
  </w:num>
  <w:num w:numId="3">
    <w:abstractNumId w:val="13"/>
  </w:num>
  <w:num w:numId="4">
    <w:abstractNumId w:val="7"/>
  </w:num>
  <w:num w:numId="5">
    <w:abstractNumId w:val="5"/>
  </w:num>
  <w:num w:numId="6">
    <w:abstractNumId w:val="22"/>
  </w:num>
  <w:num w:numId="7">
    <w:abstractNumId w:val="19"/>
  </w:num>
  <w:num w:numId="8">
    <w:abstractNumId w:val="20"/>
  </w:num>
  <w:num w:numId="9">
    <w:abstractNumId w:val="6"/>
  </w:num>
  <w:num w:numId="10">
    <w:abstractNumId w:val="17"/>
  </w:num>
  <w:num w:numId="11">
    <w:abstractNumId w:val="21"/>
  </w:num>
  <w:num w:numId="12">
    <w:abstractNumId w:val="12"/>
  </w:num>
  <w:num w:numId="13">
    <w:abstractNumId w:val="27"/>
  </w:num>
  <w:num w:numId="14">
    <w:abstractNumId w:val="11"/>
  </w:num>
  <w:num w:numId="15">
    <w:abstractNumId w:val="14"/>
  </w:num>
  <w:num w:numId="16">
    <w:abstractNumId w:val="16"/>
  </w:num>
  <w:num w:numId="17">
    <w:abstractNumId w:val="15"/>
  </w:num>
  <w:num w:numId="18">
    <w:abstractNumId w:val="25"/>
  </w:num>
  <w:num w:numId="19">
    <w:abstractNumId w:val="1"/>
  </w:num>
  <w:num w:numId="20">
    <w:abstractNumId w:val="9"/>
  </w:num>
  <w:num w:numId="21">
    <w:abstractNumId w:val="8"/>
  </w:num>
  <w:num w:numId="22">
    <w:abstractNumId w:val="18"/>
  </w:num>
  <w:num w:numId="23">
    <w:abstractNumId w:val="10"/>
  </w:num>
  <w:num w:numId="24">
    <w:abstractNumId w:val="0"/>
  </w:num>
  <w:num w:numId="25">
    <w:abstractNumId w:val="2"/>
  </w:num>
  <w:num w:numId="26">
    <w:abstractNumId w:val="26"/>
  </w:num>
  <w:num w:numId="27">
    <w:abstractNumId w:val="3"/>
  </w:num>
  <w:num w:numId="2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hyphenationZone w:val="425"/>
  <w:drawingGridHorizontalSpacing w:val="120"/>
  <w:drawingGridVerticalSpacing w:val="20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3F89"/>
    <w:rsid w:val="00002FEC"/>
    <w:rsid w:val="00024A85"/>
    <w:rsid w:val="00025204"/>
    <w:rsid w:val="0003319D"/>
    <w:rsid w:val="00035DF5"/>
    <w:rsid w:val="00040913"/>
    <w:rsid w:val="00054D5D"/>
    <w:rsid w:val="0006165D"/>
    <w:rsid w:val="00064BC2"/>
    <w:rsid w:val="000716B5"/>
    <w:rsid w:val="000729C0"/>
    <w:rsid w:val="00076737"/>
    <w:rsid w:val="00081F0E"/>
    <w:rsid w:val="000A6444"/>
    <w:rsid w:val="000B6C87"/>
    <w:rsid w:val="000C3022"/>
    <w:rsid w:val="000D78BE"/>
    <w:rsid w:val="000E6F58"/>
    <w:rsid w:val="000F54B4"/>
    <w:rsid w:val="000F6E39"/>
    <w:rsid w:val="00102D24"/>
    <w:rsid w:val="00106A3A"/>
    <w:rsid w:val="00114BBC"/>
    <w:rsid w:val="0011551B"/>
    <w:rsid w:val="00122622"/>
    <w:rsid w:val="0013014C"/>
    <w:rsid w:val="001328F7"/>
    <w:rsid w:val="001354DA"/>
    <w:rsid w:val="00137FF9"/>
    <w:rsid w:val="001423F8"/>
    <w:rsid w:val="001442DE"/>
    <w:rsid w:val="0014708F"/>
    <w:rsid w:val="0014756C"/>
    <w:rsid w:val="001633E6"/>
    <w:rsid w:val="001666B7"/>
    <w:rsid w:val="0016671E"/>
    <w:rsid w:val="0017341E"/>
    <w:rsid w:val="001749C3"/>
    <w:rsid w:val="00183FFA"/>
    <w:rsid w:val="00185D94"/>
    <w:rsid w:val="00187E93"/>
    <w:rsid w:val="00190A00"/>
    <w:rsid w:val="00194D0B"/>
    <w:rsid w:val="001A1A08"/>
    <w:rsid w:val="001A4F17"/>
    <w:rsid w:val="001B36E6"/>
    <w:rsid w:val="001B6A40"/>
    <w:rsid w:val="001C4A3A"/>
    <w:rsid w:val="001E2214"/>
    <w:rsid w:val="001E3B3E"/>
    <w:rsid w:val="001E576D"/>
    <w:rsid w:val="001F2BF9"/>
    <w:rsid w:val="001F4ED8"/>
    <w:rsid w:val="00203BE5"/>
    <w:rsid w:val="002151C2"/>
    <w:rsid w:val="00222372"/>
    <w:rsid w:val="002224E5"/>
    <w:rsid w:val="00226B31"/>
    <w:rsid w:val="00231ABA"/>
    <w:rsid w:val="00235921"/>
    <w:rsid w:val="002605EB"/>
    <w:rsid w:val="00261D6B"/>
    <w:rsid w:val="00267F38"/>
    <w:rsid w:val="0027213D"/>
    <w:rsid w:val="00274271"/>
    <w:rsid w:val="00274831"/>
    <w:rsid w:val="00281EA0"/>
    <w:rsid w:val="002969DB"/>
    <w:rsid w:val="002A19DB"/>
    <w:rsid w:val="002B6DDB"/>
    <w:rsid w:val="002C2118"/>
    <w:rsid w:val="002C3134"/>
    <w:rsid w:val="002E5852"/>
    <w:rsid w:val="002F1E80"/>
    <w:rsid w:val="002F4B0A"/>
    <w:rsid w:val="00300402"/>
    <w:rsid w:val="00342384"/>
    <w:rsid w:val="0034711E"/>
    <w:rsid w:val="0035076C"/>
    <w:rsid w:val="00366B47"/>
    <w:rsid w:val="003828FE"/>
    <w:rsid w:val="0038336E"/>
    <w:rsid w:val="0038655D"/>
    <w:rsid w:val="00395374"/>
    <w:rsid w:val="003A1775"/>
    <w:rsid w:val="003A3E36"/>
    <w:rsid w:val="003A5845"/>
    <w:rsid w:val="003C725A"/>
    <w:rsid w:val="003E07F6"/>
    <w:rsid w:val="003F346D"/>
    <w:rsid w:val="003F3ACB"/>
    <w:rsid w:val="003F4CED"/>
    <w:rsid w:val="003F5288"/>
    <w:rsid w:val="00413415"/>
    <w:rsid w:val="00434409"/>
    <w:rsid w:val="0043611F"/>
    <w:rsid w:val="00443EF4"/>
    <w:rsid w:val="00452E49"/>
    <w:rsid w:val="00461607"/>
    <w:rsid w:val="00462F0C"/>
    <w:rsid w:val="004646E8"/>
    <w:rsid w:val="00467881"/>
    <w:rsid w:val="00471218"/>
    <w:rsid w:val="00473114"/>
    <w:rsid w:val="004753FE"/>
    <w:rsid w:val="004800A4"/>
    <w:rsid w:val="00482D24"/>
    <w:rsid w:val="00485856"/>
    <w:rsid w:val="00492890"/>
    <w:rsid w:val="004B002B"/>
    <w:rsid w:val="004B1DA6"/>
    <w:rsid w:val="004B6949"/>
    <w:rsid w:val="004C16AA"/>
    <w:rsid w:val="004C73B2"/>
    <w:rsid w:val="004D1BB7"/>
    <w:rsid w:val="004D394E"/>
    <w:rsid w:val="004E1C3A"/>
    <w:rsid w:val="004E1E23"/>
    <w:rsid w:val="004E5358"/>
    <w:rsid w:val="004E7ABC"/>
    <w:rsid w:val="004F7163"/>
    <w:rsid w:val="00500AC4"/>
    <w:rsid w:val="0050216B"/>
    <w:rsid w:val="00513A85"/>
    <w:rsid w:val="00523AB3"/>
    <w:rsid w:val="00531981"/>
    <w:rsid w:val="00537023"/>
    <w:rsid w:val="005373F9"/>
    <w:rsid w:val="005460F2"/>
    <w:rsid w:val="00551C9E"/>
    <w:rsid w:val="00552927"/>
    <w:rsid w:val="00553D25"/>
    <w:rsid w:val="00557190"/>
    <w:rsid w:val="00557257"/>
    <w:rsid w:val="00565171"/>
    <w:rsid w:val="00571E23"/>
    <w:rsid w:val="00572BEA"/>
    <w:rsid w:val="0058353F"/>
    <w:rsid w:val="00590659"/>
    <w:rsid w:val="005A3292"/>
    <w:rsid w:val="005B43AD"/>
    <w:rsid w:val="005D6BA2"/>
    <w:rsid w:val="005D7E79"/>
    <w:rsid w:val="005E1EFF"/>
    <w:rsid w:val="005E5EFE"/>
    <w:rsid w:val="005E627C"/>
    <w:rsid w:val="005F1E96"/>
    <w:rsid w:val="00602B52"/>
    <w:rsid w:val="00603AD1"/>
    <w:rsid w:val="006074C3"/>
    <w:rsid w:val="006113B8"/>
    <w:rsid w:val="00620978"/>
    <w:rsid w:val="00627A09"/>
    <w:rsid w:val="006423FB"/>
    <w:rsid w:val="00644314"/>
    <w:rsid w:val="00647670"/>
    <w:rsid w:val="00655934"/>
    <w:rsid w:val="0066366B"/>
    <w:rsid w:val="00673329"/>
    <w:rsid w:val="00676F56"/>
    <w:rsid w:val="00693C0E"/>
    <w:rsid w:val="00694B6F"/>
    <w:rsid w:val="006957BB"/>
    <w:rsid w:val="00695BA5"/>
    <w:rsid w:val="006A1A2D"/>
    <w:rsid w:val="006A6BE2"/>
    <w:rsid w:val="006A70B5"/>
    <w:rsid w:val="006B7DC7"/>
    <w:rsid w:val="006D7E28"/>
    <w:rsid w:val="006F09B5"/>
    <w:rsid w:val="006F1EE5"/>
    <w:rsid w:val="006F5480"/>
    <w:rsid w:val="007022CA"/>
    <w:rsid w:val="00704924"/>
    <w:rsid w:val="00707D95"/>
    <w:rsid w:val="007259D5"/>
    <w:rsid w:val="00760FD3"/>
    <w:rsid w:val="0077405D"/>
    <w:rsid w:val="00783873"/>
    <w:rsid w:val="007A3E7F"/>
    <w:rsid w:val="007B05B3"/>
    <w:rsid w:val="007C2217"/>
    <w:rsid w:val="007C3B2D"/>
    <w:rsid w:val="007C5DDB"/>
    <w:rsid w:val="007D131F"/>
    <w:rsid w:val="007D156D"/>
    <w:rsid w:val="007D20D9"/>
    <w:rsid w:val="007D240A"/>
    <w:rsid w:val="007E4001"/>
    <w:rsid w:val="007F028E"/>
    <w:rsid w:val="007F0573"/>
    <w:rsid w:val="007F6668"/>
    <w:rsid w:val="008001F5"/>
    <w:rsid w:val="008017C5"/>
    <w:rsid w:val="008129A4"/>
    <w:rsid w:val="00817F7F"/>
    <w:rsid w:val="008265E2"/>
    <w:rsid w:val="00836717"/>
    <w:rsid w:val="008441C2"/>
    <w:rsid w:val="008545CE"/>
    <w:rsid w:val="008652E2"/>
    <w:rsid w:val="00866E66"/>
    <w:rsid w:val="008737FF"/>
    <w:rsid w:val="00873948"/>
    <w:rsid w:val="008835EF"/>
    <w:rsid w:val="0088533D"/>
    <w:rsid w:val="008855EC"/>
    <w:rsid w:val="00894516"/>
    <w:rsid w:val="008A322C"/>
    <w:rsid w:val="008A725F"/>
    <w:rsid w:val="008B4888"/>
    <w:rsid w:val="008B7831"/>
    <w:rsid w:val="008C6A90"/>
    <w:rsid w:val="008C712A"/>
    <w:rsid w:val="008D4E23"/>
    <w:rsid w:val="008D6F2A"/>
    <w:rsid w:val="008E0E9C"/>
    <w:rsid w:val="008E5F9D"/>
    <w:rsid w:val="00907CB1"/>
    <w:rsid w:val="00912498"/>
    <w:rsid w:val="0092114A"/>
    <w:rsid w:val="00922040"/>
    <w:rsid w:val="00926907"/>
    <w:rsid w:val="009272A0"/>
    <w:rsid w:val="00927A3C"/>
    <w:rsid w:val="009328EE"/>
    <w:rsid w:val="00973EB2"/>
    <w:rsid w:val="00983F2F"/>
    <w:rsid w:val="00985FB6"/>
    <w:rsid w:val="009A3AFC"/>
    <w:rsid w:val="009C3779"/>
    <w:rsid w:val="009C4CD0"/>
    <w:rsid w:val="009C764D"/>
    <w:rsid w:val="009E59B6"/>
    <w:rsid w:val="009E5A64"/>
    <w:rsid w:val="00A02EA7"/>
    <w:rsid w:val="00A057D6"/>
    <w:rsid w:val="00A1048E"/>
    <w:rsid w:val="00A137BA"/>
    <w:rsid w:val="00A17C1F"/>
    <w:rsid w:val="00A23332"/>
    <w:rsid w:val="00A31D29"/>
    <w:rsid w:val="00A37791"/>
    <w:rsid w:val="00A45BB1"/>
    <w:rsid w:val="00A46D95"/>
    <w:rsid w:val="00A55F6A"/>
    <w:rsid w:val="00A65CB8"/>
    <w:rsid w:val="00A70D8A"/>
    <w:rsid w:val="00A8516E"/>
    <w:rsid w:val="00A9569C"/>
    <w:rsid w:val="00A97076"/>
    <w:rsid w:val="00A97C4E"/>
    <w:rsid w:val="00AA10C0"/>
    <w:rsid w:val="00AA668F"/>
    <w:rsid w:val="00AB6155"/>
    <w:rsid w:val="00AE130E"/>
    <w:rsid w:val="00AE3B9C"/>
    <w:rsid w:val="00AE4E48"/>
    <w:rsid w:val="00AF2B4C"/>
    <w:rsid w:val="00AF5F38"/>
    <w:rsid w:val="00B02F0E"/>
    <w:rsid w:val="00B04918"/>
    <w:rsid w:val="00B1388F"/>
    <w:rsid w:val="00B218D9"/>
    <w:rsid w:val="00B23FEF"/>
    <w:rsid w:val="00B25FA4"/>
    <w:rsid w:val="00B31EE5"/>
    <w:rsid w:val="00B40FAC"/>
    <w:rsid w:val="00B52FE7"/>
    <w:rsid w:val="00B54992"/>
    <w:rsid w:val="00B75CD7"/>
    <w:rsid w:val="00B92071"/>
    <w:rsid w:val="00BA4843"/>
    <w:rsid w:val="00BA5A20"/>
    <w:rsid w:val="00BB6625"/>
    <w:rsid w:val="00BC19F5"/>
    <w:rsid w:val="00BC3F43"/>
    <w:rsid w:val="00BD44B7"/>
    <w:rsid w:val="00BD5C9B"/>
    <w:rsid w:val="00BE5E0C"/>
    <w:rsid w:val="00BE7A85"/>
    <w:rsid w:val="00BF1454"/>
    <w:rsid w:val="00BF305C"/>
    <w:rsid w:val="00C02E09"/>
    <w:rsid w:val="00C25D71"/>
    <w:rsid w:val="00C378A8"/>
    <w:rsid w:val="00C45AE4"/>
    <w:rsid w:val="00C47D77"/>
    <w:rsid w:val="00C55FE0"/>
    <w:rsid w:val="00C57766"/>
    <w:rsid w:val="00C63DBC"/>
    <w:rsid w:val="00C63E13"/>
    <w:rsid w:val="00C65565"/>
    <w:rsid w:val="00C84479"/>
    <w:rsid w:val="00C84B80"/>
    <w:rsid w:val="00C92764"/>
    <w:rsid w:val="00C941DB"/>
    <w:rsid w:val="00C97684"/>
    <w:rsid w:val="00CB6FFB"/>
    <w:rsid w:val="00CC0804"/>
    <w:rsid w:val="00CD1144"/>
    <w:rsid w:val="00CE01B4"/>
    <w:rsid w:val="00CF5105"/>
    <w:rsid w:val="00D11178"/>
    <w:rsid w:val="00D125FC"/>
    <w:rsid w:val="00D27B94"/>
    <w:rsid w:val="00D363D0"/>
    <w:rsid w:val="00D4228A"/>
    <w:rsid w:val="00D47B45"/>
    <w:rsid w:val="00D60790"/>
    <w:rsid w:val="00D71B80"/>
    <w:rsid w:val="00D7245C"/>
    <w:rsid w:val="00D771CB"/>
    <w:rsid w:val="00D9185F"/>
    <w:rsid w:val="00DA0238"/>
    <w:rsid w:val="00DA3666"/>
    <w:rsid w:val="00DB422C"/>
    <w:rsid w:val="00DB7860"/>
    <w:rsid w:val="00DC15F9"/>
    <w:rsid w:val="00DC42D4"/>
    <w:rsid w:val="00DD24F8"/>
    <w:rsid w:val="00DD63E5"/>
    <w:rsid w:val="00DE16EC"/>
    <w:rsid w:val="00DF0196"/>
    <w:rsid w:val="00DF3CFE"/>
    <w:rsid w:val="00DF3EB1"/>
    <w:rsid w:val="00E05CA8"/>
    <w:rsid w:val="00E06807"/>
    <w:rsid w:val="00E079F3"/>
    <w:rsid w:val="00E13D4D"/>
    <w:rsid w:val="00E20B55"/>
    <w:rsid w:val="00E2722B"/>
    <w:rsid w:val="00E42973"/>
    <w:rsid w:val="00E51476"/>
    <w:rsid w:val="00E573F0"/>
    <w:rsid w:val="00E64CCD"/>
    <w:rsid w:val="00E848EA"/>
    <w:rsid w:val="00E90893"/>
    <w:rsid w:val="00E94C7B"/>
    <w:rsid w:val="00E96256"/>
    <w:rsid w:val="00EA2E5A"/>
    <w:rsid w:val="00EA31F4"/>
    <w:rsid w:val="00EA3647"/>
    <w:rsid w:val="00EA3F6F"/>
    <w:rsid w:val="00EA40E0"/>
    <w:rsid w:val="00EA5BD6"/>
    <w:rsid w:val="00EA67E1"/>
    <w:rsid w:val="00EC0426"/>
    <w:rsid w:val="00EC4637"/>
    <w:rsid w:val="00EC494E"/>
    <w:rsid w:val="00ED2289"/>
    <w:rsid w:val="00EE391A"/>
    <w:rsid w:val="00EE6CDB"/>
    <w:rsid w:val="00EF0D44"/>
    <w:rsid w:val="00EF4964"/>
    <w:rsid w:val="00F005D1"/>
    <w:rsid w:val="00F15888"/>
    <w:rsid w:val="00F17187"/>
    <w:rsid w:val="00F17282"/>
    <w:rsid w:val="00F20DBC"/>
    <w:rsid w:val="00F236E4"/>
    <w:rsid w:val="00F2545A"/>
    <w:rsid w:val="00F255BA"/>
    <w:rsid w:val="00F25766"/>
    <w:rsid w:val="00F27520"/>
    <w:rsid w:val="00F36C75"/>
    <w:rsid w:val="00F37A33"/>
    <w:rsid w:val="00F53567"/>
    <w:rsid w:val="00F55154"/>
    <w:rsid w:val="00F560DD"/>
    <w:rsid w:val="00F602B0"/>
    <w:rsid w:val="00F815B5"/>
    <w:rsid w:val="00F831B3"/>
    <w:rsid w:val="00F94638"/>
    <w:rsid w:val="00FA6FF5"/>
    <w:rsid w:val="00FA7367"/>
    <w:rsid w:val="00FB31E3"/>
    <w:rsid w:val="00FB3F89"/>
    <w:rsid w:val="00FF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90F20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EF4964"/>
  </w:style>
  <w:style w:type="paragraph" w:styleId="Heading3">
    <w:name w:val="heading 3"/>
    <w:basedOn w:val="Normal"/>
    <w:link w:val="Heading3Char"/>
    <w:uiPriority w:val="9"/>
    <w:qFormat/>
    <w:rsid w:val="001328F7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F4964"/>
    <w:rPr>
      <w:color w:val="808080"/>
    </w:rPr>
  </w:style>
  <w:style w:type="paragraph" w:styleId="ListParagraph">
    <w:name w:val="List Paragraph"/>
    <w:basedOn w:val="Normal"/>
    <w:uiPriority w:val="34"/>
    <w:qFormat/>
    <w:rsid w:val="00EF496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A1A2D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328F7"/>
    <w:rPr>
      <w:rFonts w:ascii="Times New Roman" w:hAnsi="Times New Roman" w:cs="Times New Roman"/>
      <w:b/>
      <w:bCs/>
      <w:sz w:val="27"/>
      <w:szCs w:val="27"/>
    </w:rPr>
  </w:style>
  <w:style w:type="character" w:customStyle="1" w:styleId="mw-headline">
    <w:name w:val="mw-headline"/>
    <w:basedOn w:val="DefaultParagraphFont"/>
    <w:rsid w:val="001328F7"/>
  </w:style>
  <w:style w:type="character" w:customStyle="1" w:styleId="mw-editsection">
    <w:name w:val="mw-editsection"/>
    <w:basedOn w:val="DefaultParagraphFont"/>
    <w:rsid w:val="001328F7"/>
  </w:style>
  <w:style w:type="character" w:customStyle="1" w:styleId="mw-editsection-bracket">
    <w:name w:val="mw-editsection-bracket"/>
    <w:basedOn w:val="DefaultParagraphFont"/>
    <w:rsid w:val="001328F7"/>
  </w:style>
  <w:style w:type="paragraph" w:styleId="NormalWeb">
    <w:name w:val="Normal (Web)"/>
    <w:basedOn w:val="Normal"/>
    <w:uiPriority w:val="99"/>
    <w:semiHidden/>
    <w:unhideWhenUsed/>
    <w:rsid w:val="001328F7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texhtml">
    <w:name w:val="texhtml"/>
    <w:basedOn w:val="DefaultParagraphFont"/>
    <w:rsid w:val="001328F7"/>
  </w:style>
  <w:style w:type="character" w:customStyle="1" w:styleId="mwe-math-mathml-inline">
    <w:name w:val="mwe-math-mathml-inline"/>
    <w:basedOn w:val="DefaultParagraphFont"/>
    <w:rsid w:val="001328F7"/>
  </w:style>
  <w:style w:type="paragraph" w:styleId="BalloonText">
    <w:name w:val="Balloon Text"/>
    <w:basedOn w:val="Normal"/>
    <w:link w:val="BalloonTextChar"/>
    <w:uiPriority w:val="99"/>
    <w:semiHidden/>
    <w:unhideWhenUsed/>
    <w:rsid w:val="00655934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55934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C725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725A"/>
  </w:style>
  <w:style w:type="paragraph" w:styleId="Footer">
    <w:name w:val="footer"/>
    <w:basedOn w:val="Normal"/>
    <w:link w:val="FooterChar"/>
    <w:uiPriority w:val="99"/>
    <w:unhideWhenUsed/>
    <w:rsid w:val="003C725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725A"/>
  </w:style>
  <w:style w:type="paragraph" w:customStyle="1" w:styleId="p1">
    <w:name w:val="p1"/>
    <w:basedOn w:val="Normal"/>
    <w:rsid w:val="00627A09"/>
    <w:rPr>
      <w:rFonts w:ascii="Helvetica" w:hAnsi="Helvetica" w:cs="Times New Roman"/>
      <w:sz w:val="17"/>
      <w:szCs w:val="17"/>
    </w:rPr>
  </w:style>
  <w:style w:type="character" w:customStyle="1" w:styleId="s1">
    <w:name w:val="s1"/>
    <w:basedOn w:val="DefaultParagraphFont"/>
    <w:rsid w:val="003F4CED"/>
    <w:rPr>
      <w:rFonts w:ascii="Helvetica" w:hAnsi="Helvetica" w:hint="default"/>
      <w:sz w:val="11"/>
      <w:szCs w:val="1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568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8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9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6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DB6349-A08C-4743-A76E-5C1CBE2C53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339</Words>
  <Characters>1935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Levine, Benjamin</cp:lastModifiedBy>
  <cp:revision>3</cp:revision>
  <cp:lastPrinted>2017-10-27T15:57:00Z</cp:lastPrinted>
  <dcterms:created xsi:type="dcterms:W3CDTF">2017-12-08T17:58:00Z</dcterms:created>
  <dcterms:modified xsi:type="dcterms:W3CDTF">2017-12-09T04:30:00Z</dcterms:modified>
</cp:coreProperties>
</file>