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iseño-de-pilotos--garbiker"/>
    <w:p>
      <w:pPr>
        <w:pStyle w:val="Title"/>
        <w:jc w:val="left"/>
        <w:pBdr>
          <w:bottom w:val="single" w:sz="16" w:space="8" w:color="185C61"/>
        </w:pBdr>
        <w:widowControl w:val="1"/>
      </w:pPr>
      <w:r>
        <w:t xml:space="preserve">Diseño de pilotos — Garbiker</w:t>
      </w:r>
    </w:p>
    <w:p>
      <w:pPr>
        <w:pStyle w:val="FirstParagraph"/>
        <w:spacing w:after="240"/>
        <w:widowControl w:val="1"/>
      </w:pPr>
      <w:r>
        <w:rPr>
          <w:rFonts w:ascii="Arial" w:hAnsi="Arial" w:eastAsia="Arial"/>
          <w:b/>
          <w:bCs/>
          <w:color w:val="52666A"/>
          <w:sz w:val="18"/>
        </w:rPr>
        <w:t xml:space="preserve">Fecha:</w:t>
      </w:r>
      <w:r>
        <w:rPr>
          <w:rFonts w:ascii="Arial" w:hAnsi="Arial" w:eastAsia="Arial"/>
          <w:color w:val="52666A"/>
          <w:sz w:val="18"/>
        </w:rPr>
        <w:t xml:space="preserve"> </w:t>
      </w:r>
      <w:r>
        <w:rPr>
          <w:rFonts w:ascii="Arial" w:hAnsi="Arial" w:eastAsia="Arial"/>
          <w:color w:val="52666A"/>
          <w:sz w:val="18"/>
        </w:rPr>
        <w:t xml:space="preserve">25 de junio de 2026</w:t>
      </w:r>
      <w:r>
        <w:rPr>
          <w:rFonts w:ascii="Arial" w:hAnsi="Arial" w:eastAsia="Arial"/>
          <w:color w:val="52666A"/>
          <w:sz w:val="18"/>
        </w:rPr>
        <w:br/>
      </w:r>
      <w:r>
        <w:rPr>
          <w:rFonts w:ascii="Arial" w:hAnsi="Arial" w:eastAsia="Arial"/>
          <w:b/>
          <w:bCs/>
          <w:color w:val="52666A"/>
          <w:sz w:val="18"/>
        </w:rPr>
        <w:t xml:space="preserve">Preparado por:</w:t>
      </w:r>
      <w:r>
        <w:rPr>
          <w:rFonts w:ascii="Arial" w:hAnsi="Arial" w:eastAsia="Arial"/>
          <w:color w:val="52666A"/>
          <w:sz w:val="18"/>
        </w:rPr>
        <w:t xml:space="preserve"> </w:t>
      </w:r>
      <w:r>
        <w:rPr>
          <w:rFonts w:ascii="Arial" w:hAnsi="Arial" w:eastAsia="Arial"/>
          <w:color w:val="52666A"/>
          <w:sz w:val="18"/>
        </w:rPr>
        <w:t xml:space="preserve">Astara Intelligence</w:t>
      </w:r>
    </w:p>
    <w:p>
      <w:pPr>
        <w:pBdr>
          <w:bottom w:val="single" w:sz="6" w:space="3" w:color="8EA3A7"/>
        </w:pBdr>
        <w:spacing w:before="40" w:after="0" w:line="192" w:lineRule="auto"/>
        <w:widowControl w:val="1"/>
      </w:pPr>
    </w:p>
    <w:bookmarkStart w:id="26" w:name="piloto-a--análisis-de-personal"/>
    <w:p>
      <w:pPr>
        <w:pStyle w:val="Heading2"/>
        <w:keepNext/>
        <w:pageBreakBefore w:val="0"/>
        <w:widowControl w:val="1"/>
      </w:pPr>
      <w:r>
        <w:t xml:space="preserve">Piloto A — Análisis de personal</w:t>
      </w:r>
    </w:p>
    <w:p>
      <w:pPr>
        <w:pStyle w:val="FirstParagraph"/>
        <w:widowControl w:val="1"/>
      </w:pPr>
      <w:r>
        <w:rPr>
          <w:rFonts w:ascii="Arial" w:hAnsi="Arial" w:eastAsia="Arial"/>
          <w:b/>
          <w:bCs/>
          <w:color w:val="263238"/>
          <w:sz w:val="19"/>
        </w:rPr>
        <w:t xml:space="preserve">Objetivo:</w:t>
      </w:r>
      <w:r>
        <w:rPr>
          <w:rFonts w:ascii="Arial" w:hAnsi="Arial" w:eastAsia="Arial"/>
          <w:color w:val="263238"/>
          <w:sz w:val="19"/>
        </w:rPr>
        <w:t xml:space="preserve"> </w:t>
      </w:r>
      <w:r>
        <w:rPr>
          <w:rFonts w:ascii="Arial" w:hAnsi="Arial" w:eastAsia="Arial"/>
          <w:color w:val="263238"/>
          <w:sz w:val="19"/>
        </w:rPr>
        <w:t xml:space="preserve">Identificar quién desarrolla su tarea mejor y peor entre los conductores de transporte (y, si el campo</w:t>
      </w:r>
      <w:r>
        <w:rPr>
          <w:rFonts w:ascii="Arial" w:hAnsi="Arial" w:eastAsia="Arial"/>
          <w:color w:val="263238"/>
          <w:sz w:val="19"/>
        </w:rPr>
        <w:t xml:space="preserve"> </w:t>
      </w:r>
      <w:r>
        <w:rPr>
          <w:rStyle w:val="VerbatimChar"/>
          <w:rFonts w:ascii="Arial" w:hAnsi="Arial" w:eastAsia="Arial"/>
          <w:color w:val="263238"/>
          <w:sz w:val="19"/>
        </w:rPr>
        <w:t xml:space="preserve">Operador</w:t>
      </w:r>
      <w:r>
        <w:rPr>
          <w:rFonts w:ascii="Arial" w:hAnsi="Arial" w:eastAsia="Arial"/>
          <w:color w:val="263238"/>
          <w:sz w:val="19"/>
        </w:rPr>
        <w:t xml:space="preserve"> </w:t>
      </w:r>
      <w:r>
        <w:rPr>
          <w:rFonts w:ascii="Arial" w:hAnsi="Arial" w:eastAsia="Arial"/>
          <w:color w:val="263238"/>
          <w:sz w:val="19"/>
        </w:rPr>
        <w:t xml:space="preserve">de Actais Waste está disponible, también entre los operarios de punto limpio). El análisis combina volumen, coste económico real y factores de contexto que permiten que la comparación entre personas sea justa.</w:t>
      </w:r>
    </w:p>
    <w:p>
      <w:pPr>
        <w:pStyle w:val="BodyText"/>
        <w:widowControl w:val="1"/>
      </w:pPr>
      <w:r>
        <w:rPr>
          <w:rFonts w:ascii="Arial" w:hAnsi="Arial" w:eastAsia="Arial"/>
          <w:b/>
          <w:bCs/>
          <w:color w:val="263238"/>
          <w:sz w:val="19"/>
        </w:rPr>
        <w:t xml:space="preserve">Pregunta central:</w:t>
      </w:r>
      <w:r>
        <w:rPr>
          <w:rFonts w:ascii="Arial" w:hAnsi="Arial" w:eastAsia="Arial"/>
          <w:color w:val="263238"/>
          <w:sz w:val="19"/>
        </w:rPr>
        <w:t xml:space="preserve"> </w:t>
      </w:r>
      <w:r>
        <w:rPr>
          <w:rFonts w:ascii="Arial" w:hAnsi="Arial" w:eastAsia="Arial"/>
          <w:color w:val="263238"/>
          <w:sz w:val="19"/>
        </w:rPr>
        <w:t xml:space="preserve">¿Qué conductores generan más valor por euro invertido, controlando por ruta asignada, tipo de vehículo y condiciones externas?</w:t>
      </w:r>
    </w:p>
    <w:p>
      <w:pPr>
        <w:pBdr>
          <w:bottom w:val="single" w:sz="6" w:space="3" w:color="8EA3A7"/>
        </w:pBdr>
        <w:spacing w:before="40" w:after="0" w:line="192" w:lineRule="auto"/>
        <w:widowControl w:val="1"/>
      </w:pPr>
    </w:p>
    <w:bookmarkStart w:id="20" w:name="indicadores-a-construir"/>
    <w:p>
      <w:pPr>
        <w:pStyle w:val="Heading3"/>
        <w:keepNext/>
        <w:pageBreakBefore w:val="0"/>
        <w:widowControl w:val="1"/>
      </w:pPr>
      <w:r>
        <w:t xml:space="preserve">Indicadores a construir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39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Indicador</w:t>
            </w:r>
          </w:p>
        </w:tc>
        <w:tc>
          <w:tcPr>
            <w:tcW w:type="dxa" w:w="6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Descripción</w:t>
            </w:r>
          </w:p>
        </w:tc>
      </w:tr>
      <w:tr>
        <w:tc>
          <w:tcPr>
            <w:tcW w:type="dxa" w:w="39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Transportes por día trabajado</w:t>
            </w:r>
          </w:p>
        </w:tc>
        <w:tc>
          <w:tcPr>
            <w:tcW w:type="dxa" w:w="6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Productividad bruta del conductor</w:t>
            </w:r>
          </w:p>
        </w:tc>
      </w:tr>
      <w:tr>
        <w:tc>
          <w:tcPr>
            <w:tcW w:type="dxa" w:w="39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Kg movidos por día trabajado</w:t>
            </w:r>
          </w:p>
        </w:tc>
        <w:tc>
          <w:tcPr>
            <w:tcW w:type="dxa" w:w="6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Volumen real de trabajo</w:t>
            </w:r>
          </w:p>
        </w:tc>
      </w:tr>
      <w:tr>
        <w:tc>
          <w:tcPr>
            <w:tcW w:type="dxa" w:w="39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Coste por kg transportado</w:t>
            </w:r>
          </w:p>
        </w:tc>
        <w:tc>
          <w:tcPr>
            <w:tcW w:type="dxa" w:w="6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Eficiencia económica (salario + extras / kg)</w:t>
            </w:r>
          </w:p>
        </w:tc>
      </w:tr>
      <w:tr>
        <w:tc>
          <w:tcPr>
            <w:tcW w:type="dxa" w:w="39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Tasa de refuerzos generados</w:t>
            </w:r>
          </w:p>
        </w:tc>
        <w:tc>
          <w:tcPr>
            <w:tcW w:type="dxa" w:w="6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Días en que ha necesitado ser cubierto por otro</w:t>
            </w:r>
          </w:p>
        </w:tc>
      </w:tr>
      <w:tr>
        <w:tc>
          <w:tcPr>
            <w:tcW w:type="dxa" w:w="39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Coste de ausencias</w:t>
            </w:r>
          </w:p>
        </w:tc>
        <w:tc>
          <w:tcPr>
            <w:tcW w:type="dxa" w:w="6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Días cubiertos × coste del sustituto según convenio</w:t>
            </w:r>
          </w:p>
        </w:tc>
      </w:tr>
      <w:tr>
        <w:tc>
          <w:tcPr>
            <w:tcW w:type="dxa" w:w="39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Horas extra por tipo</w:t>
            </w:r>
          </w:p>
        </w:tc>
        <w:tc>
          <w:tcPr>
            <w:tcW w:type="dxa" w:w="6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Operativa / averías / formación / otros</w:t>
            </w:r>
          </w:p>
        </w:tc>
      </w:tr>
      <w:tr>
        <w:tc>
          <w:tcPr>
            <w:tcW w:type="dxa" w:w="39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Incidencias de vehículo asociadas</w:t>
            </w:r>
          </w:p>
        </w:tc>
        <w:tc>
          <w:tcPr>
            <w:tcW w:type="dxa" w:w="6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Tasa de averías en los vehículos que conduce</w:t>
            </w:r>
          </w:p>
        </w:tc>
      </w:tr>
      <w:tr>
        <w:tc>
          <w:tcPr>
            <w:tcW w:type="dxa" w:w="39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Índice de rendimiento ajustado</w:t>
            </w:r>
          </w:p>
        </w:tc>
        <w:tc>
          <w:tcPr>
            <w:tcW w:type="dxa" w:w="6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Productividad corregida por ruta, clima y vehículo</w:t>
            </w:r>
          </w:p>
        </w:tc>
      </w:tr>
    </w:tbl>
    <w:p>
      <w:pPr>
        <w:pBdr>
          <w:bottom w:val="single" w:sz="6" w:space="3" w:color="8EA3A7"/>
        </w:pBdr>
        <w:spacing w:before="40" w:after="0" w:line="192" w:lineRule="auto"/>
        <w:widowControl w:val="1"/>
      </w:pPr>
    </w:p>
    <w:bookmarkEnd w:id="20"/>
    <w:bookmarkStart w:id="24" w:name="mapa-de-datos"/>
    <w:p>
      <w:pPr>
        <w:pStyle w:val="Heading3"/>
        <w:keepNext/>
        <w:pageBreakBefore w:val="0"/>
        <w:widowControl w:val="1"/>
      </w:pPr>
      <w:r>
        <w:t xml:space="preserve">Mapa de datos</w:t>
      </w:r>
    </w:p>
    <w:bookmarkStart w:id="21" w:name="datos-disponibles"/>
    <w:p>
      <w:pPr>
        <w:pStyle w:val="Heading4"/>
        <w:keepNext/>
        <w:pageBreakBefore w:val="0"/>
        <w:widowControl w:val="1"/>
      </w:pPr>
      <w:r>
        <w:t xml:space="preserve">Datos disponibles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Fichero</w:t>
            </w:r>
          </w:p>
        </w:tc>
        <w:tc>
          <w:tcPr>
            <w:tcW w:type="dxa" w:w="59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Qué aporta al Piloto A</w:t>
            </w:r>
          </w:p>
        </w:tc>
      </w:tr>
      <w:tr>
        <w:tc>
          <w:tcPr>
            <w:tcW w:type="dxa" w:w="4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AST_Pesadas_Garbigunes (33.851 filas, 2023–2026)</w:t>
            </w:r>
          </w:p>
        </w:tc>
        <w:tc>
          <w:tcPr>
            <w:tcW w:type="dxa" w:w="59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Transportes realizados por conductor y matrícula: base del indicador de productividad bruta</w:t>
            </w:r>
          </w:p>
        </w:tc>
      </w:tr>
      <w:tr>
        <w:tc>
          <w:tcPr>
            <w:tcW w:type="dxa" w:w="4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AST_GarbigunesMovil-Todos (546 filas, 2022–2026)</w:t>
            </w:r>
          </w:p>
        </w:tc>
        <w:tc>
          <w:tcPr>
            <w:tcW w:type="dxa" w:w="59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Servicios del garbigune móvil por conductor: complementa la productividad para quienes operan este servicio</w:t>
            </w:r>
          </w:p>
        </w:tc>
      </w:tr>
      <w:tr>
        <w:tc>
          <w:tcPr>
            <w:tcW w:type="dxa" w:w="4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AST_Refuerzos-TRANSPORTE GARBIGUNE (2.281 filas, 2019–2026)</w:t>
            </w:r>
          </w:p>
        </w:tc>
        <w:tc>
          <w:tcPr>
            <w:tcW w:type="dxa" w:w="59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Días en que cada persona ha actuado como refuerzo de otro: indica tanto disponibilidad extra como necesidad de cobertura</w:t>
            </w:r>
          </w:p>
        </w:tc>
      </w:tr>
      <w:tr>
        <w:tc>
          <w:tcPr>
            <w:tcW w:type="dxa" w:w="4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AST_RefuerzoFestivos (2 filas)</w:t>
            </w:r>
          </w:p>
        </w:tc>
        <w:tc>
          <w:tcPr>
            <w:tcW w:type="dxa" w:w="59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Residual; se fusiona con Refuerzos añadiendo flag festivo</w:t>
            </w:r>
          </w:p>
        </w:tc>
      </w:tr>
      <w:tr>
        <w:tc>
          <w:tcPr>
            <w:tcW w:type="dxa" w:w="4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AST_2022_Incidencias_Vehículos (320 filas)</w:t>
            </w:r>
          </w:p>
        </w:tc>
        <w:tc>
          <w:tcPr>
            <w:tcW w:type="dxa" w:w="59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Averías por vehículo y centro en 2022: base para calcular tasa de incidencias por conductor asignado</w:t>
            </w:r>
          </w:p>
        </w:tc>
      </w:tr>
      <w:tr>
        <w:tc>
          <w:tcPr>
            <w:tcW w:type="dxa" w:w="4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AST_20260624_Flota (16 vehículos)</w:t>
            </w:r>
          </w:p>
        </w:tc>
        <w:tc>
          <w:tcPr>
            <w:tcW w:type="dxa" w:w="59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Antigüedad, marca y tipo de combustible por matrícula: variable de control (un conductor con camión más antiguo tiene más contexto de avería)</w:t>
            </w:r>
          </w:p>
        </w:tc>
      </w:tr>
      <w:tr>
        <w:tc>
          <w:tcPr>
            <w:tcW w:type="dxa" w:w="4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AST_Datos históricos personal (DOCX)</w:t>
            </w:r>
          </w:p>
        </w:tc>
        <w:tc>
          <w:tcPr>
            <w:tcW w:type="dxa" w:w="59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Evolución de plantilla y horas extra agregadas por año: contexto histórico del servicio</w:t>
            </w:r>
          </w:p>
        </w:tc>
      </w:tr>
    </w:tbl>
    <w:bookmarkEnd w:id="21"/>
    <w:bookmarkStart w:id="22" w:name="pendiente-de-solicitar-a-garbiker"/>
    <w:p>
      <w:pPr>
        <w:pStyle w:val="Heading4"/>
        <w:keepNext/>
        <w:pageBreakBefore w:val="0"/>
        <w:widowControl w:val="1"/>
      </w:pPr>
      <w:r>
        <w:t xml:space="preserve">Pendiente de solicitar a Garbiker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33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Fichero</w:t>
            </w:r>
          </w:p>
        </w:tc>
        <w:tc>
          <w:tcPr>
            <w:tcW w:type="dxa" w:w="5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Por qué es necesario</w:t>
            </w:r>
          </w:p>
        </w:tc>
        <w:tc>
          <w:tcPr>
            <w:tcW w:type="dxa" w:w="8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Urgencia</w:t>
            </w:r>
          </w:p>
        </w:tc>
      </w:tr>
      <w:tr>
        <w:tc>
          <w:tcPr>
            <w:tcW w:type="dxa" w:w="33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AST_Coberturas-TODOS</w:t>
            </w:r>
          </w:p>
        </w:tc>
        <w:tc>
          <w:tcPr>
            <w:tcW w:type="dxa" w:w="5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Registra quién faltó, por qué motivo y quién cubrió. Sin él no hay tasa de absentismo real ni coste de ausencias</w:t>
            </w:r>
          </w:p>
        </w:tc>
        <w:tc>
          <w:tcPr>
            <w:tcW w:type="dxa" w:w="8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🔴 Crítica</w:t>
            </w:r>
          </w:p>
        </w:tc>
      </w:tr>
      <w:tr>
        <w:tc>
          <w:tcPr>
            <w:tcW w:type="dxa" w:w="33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Extracción masiva Actais Waste (campo Operador)</w:t>
            </w:r>
          </w:p>
        </w:tc>
        <w:tc>
          <w:tcPr>
            <w:tcW w:type="dxa" w:w="5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Si el campo está relleno, permite analizar también a los operarios de garbigune (entradas gestionadas, diversidad de residuos, volumen por turno)</w:t>
            </w:r>
          </w:p>
        </w:tc>
        <w:tc>
          <w:tcPr>
            <w:tcW w:type="dxa" w:w="8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🔴 Crítica</w:t>
            </w:r>
          </w:p>
        </w:tc>
      </w:tr>
      <w:tr>
        <w:tc>
          <w:tcPr>
            <w:tcW w:type="dxa" w:w="33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Cuadrantes / planificación de turnos</w:t>
            </w:r>
          </w:p>
        </w:tc>
        <w:tc>
          <w:tcPr>
            <w:tcW w:type="dxa" w:w="5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Sin turnos planificados no se puede separar "produjo poco" de "trabajó menos horas ese día"</w:t>
            </w:r>
          </w:p>
        </w:tc>
        <w:tc>
          <w:tcPr>
            <w:tcW w:type="dxa" w:w="8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🟠 Alta</w:t>
            </w:r>
          </w:p>
        </w:tc>
      </w:tr>
      <w:tr>
        <w:tc>
          <w:tcPr>
            <w:tcW w:type="dxa" w:w="33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Histórico incidencias 2023–2026</w:t>
            </w:r>
          </w:p>
        </w:tc>
        <w:tc>
          <w:tcPr>
            <w:tcW w:type="dxa" w:w="5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Ampliar la serie de averías para calcular la tasa real de incidencias por conductor en el periodo de análisis</w:t>
            </w:r>
          </w:p>
        </w:tc>
        <w:tc>
          <w:tcPr>
            <w:tcW w:type="dxa" w:w="8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🟠 Alta</w:t>
            </w:r>
          </w:p>
        </w:tc>
      </w:tr>
      <w:tr>
        <w:tc>
          <w:tcPr>
            <w:tcW w:type="dxa" w:w="33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Registro de formación por trabajador</w:t>
            </w:r>
          </w:p>
        </w:tc>
        <w:tc>
          <w:tcPr>
            <w:tcW w:type="dxa" w:w="5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Explica diferencias de rendimiento: un conductor formado en conducción eficiente GNC tiene otro perfil de coste</w:t>
            </w:r>
          </w:p>
        </w:tc>
        <w:tc>
          <w:tcPr>
            <w:tcW w:type="dxa" w:w="8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🟡 Media</w:t>
            </w:r>
          </w:p>
        </w:tc>
      </w:tr>
      <w:tr>
        <w:tc>
          <w:tcPr>
            <w:tcW w:type="dxa" w:w="33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Tabla asignación conductor–ruta–vehículo</w:t>
            </w:r>
          </w:p>
        </w:tc>
        <w:tc>
          <w:tcPr>
            <w:tcW w:type="dxa" w:w="5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Permite controlar si las diferencias entre personas se deben al conductor o a la ruta/vehículo asignado</w:t>
            </w:r>
          </w:p>
        </w:tc>
        <w:tc>
          <w:tcPr>
            <w:tcW w:type="dxa" w:w="8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🟡 Media</w:t>
            </w:r>
          </w:p>
        </w:tc>
      </w:tr>
    </w:tbl>
    <w:bookmarkEnd w:id="22"/>
    <w:bookmarkStart w:id="23" w:name="fuentes-externas"/>
    <w:p>
      <w:pPr>
        <w:pStyle w:val="Heading4"/>
        <w:keepNext/>
        <w:pageBreakBefore w:val="0"/>
        <w:widowControl w:val="1"/>
      </w:pPr>
      <w:r>
        <w:t xml:space="preserve">Fuentes externas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33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Fuente</w:t>
            </w:r>
          </w:p>
        </w:tc>
        <w:tc>
          <w:tcPr>
            <w:tcW w:type="dxa" w:w="67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Qué aporta al Piloto A</w:t>
            </w:r>
          </w:p>
        </w:tc>
      </w:tr>
      <w:tr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BOPV — Convenio colectivo</w:t>
            </w:r>
          </w:p>
        </w:tc>
        <w:tc>
          <w:tcPr>
            <w:tcW w:type="dxa" w:w="67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Tabla salarial por categoría + coste de hora extra y festivo. Convierte volumen en coste real (€/conductor)</w:t>
            </w:r>
          </w:p>
        </w:tc>
      </w:tr>
      <w:tr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BOPV — Calendario laboral Bizkaia</w:t>
            </w:r>
          </w:p>
        </w:tc>
        <w:tc>
          <w:tcPr>
            <w:tcW w:type="dxa" w:w="67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Distingue festivos por año para monetizar correctamente el fichero de RefuerzoFestivos</w:t>
            </w:r>
          </w:p>
        </w:tc>
      </w:tr>
      <w:tr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AEMET — Meteorología histórica</w:t>
            </w:r>
          </w:p>
        </w:tc>
        <w:tc>
          <w:tcPr>
            <w:tcW w:type="dxa" w:w="67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Variable de control: días de lluvia intensa o alerta meteorológica en cada zona. Evita penalizar a conductores de rutas con peor clima</w:t>
            </w:r>
          </w:p>
        </w:tc>
      </w:tr>
      <w:tr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Garbiker.eus — Horarios de apertura</w:t>
            </w:r>
          </w:p>
        </w:tc>
        <w:tc>
          <w:tcPr>
            <w:tcW w:type="dxa" w:w="67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Variable de control para operarios: normaliza el rendimiento por horas efectivas de apertura del punto limpio</w:t>
            </w:r>
          </w:p>
        </w:tc>
      </w:tr>
    </w:tbl>
    <w:p>
      <w:pPr>
        <w:pBdr>
          <w:bottom w:val="single" w:sz="6" w:space="3" w:color="8EA3A7"/>
        </w:pBdr>
        <w:spacing w:before="40" w:after="0" w:line="192" w:lineRule="auto"/>
        <w:widowControl w:val="1"/>
      </w:pPr>
    </w:p>
    <w:bookmarkEnd w:id="23"/>
    <w:bookmarkEnd w:id="24"/>
    <w:bookmarkStart w:id="25" w:name="flujo-de-construcción-del-análisis"/>
    <w:p>
      <w:pPr>
        <w:pStyle w:val="Heading3"/>
        <w:keepNext/>
        <w:pageBreakBefore w:val="0"/>
        <w:widowControl w:val="1"/>
      </w:pPr>
      <w:r>
        <w:t xml:space="preserve">Flujo de construcción del análisis</w:t>
      </w:r>
    </w:p>
    <w:p>
      <w:pPr>
        <w:pStyle w:val="SourceCode"/>
        <w:shd w:fill="F1F4F4"/>
        <w:widowControl w:val="1"/>
      </w:pPr>
      <w:r>
        <w:rPr>
          <w:rStyle w:val="VerbatimChar"/>
          <w:rFonts w:ascii="Consolas" w:hAnsi="Consolas" w:eastAsia="Consolas"/>
          <w:color w:val="263238"/>
          <w:sz w:val="16"/>
        </w:rPr>
        <w:t xml:space="preserve">Pesadas + Garbigune Móvil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▼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Transportes y kg por conductor y día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Cuadrantes (turnos planificados) ──→ Productividad por hora trabajada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Flota (antigüedad, combustible) ──→ Control por tipo de vehículo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Incidencias (2022 + pendiente) ──→ Tasa de averías por conductor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AEMET (clima) ──→ Ajuste por condiciones adversas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BOPV (convenio) ──→ Coste real por conductor (€/día, €/kg)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Refuerzos + Coberturas ──→ Tasa de absentismo y coste de ausencias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└──────────────────────────────────────────→ Ranking ajustado por conductor</w:t>
      </w:r>
    </w:p>
    <w:p>
      <w:pPr>
        <w:pBdr>
          <w:bottom w:val="single" w:sz="6" w:space="3" w:color="8EA3A7"/>
        </w:pBdr>
        <w:spacing w:before="40" w:after="120" w:line="60" w:lineRule="auto"/>
        <w:widowControl w:val="1"/>
      </w:pPr>
    </w:p>
    <w:bookmarkEnd w:id="25"/>
    <w:bookmarkEnd w:id="26"/>
    <w:bookmarkStart w:id="33" w:name="piloto-b--costes-rutas-y-logística"/>
    <w:p>
      <w:pPr>
        <w:pStyle w:val="Heading2"/>
        <w:keepNext/>
        <w:pageBreakBefore w:val="0"/>
        <w:widowControl w:val="1"/>
      </w:pPr>
      <w:r>
        <w:t xml:space="preserve">Piloto B — Costes, rutas y logística</w:t>
      </w:r>
    </w:p>
    <w:p>
      <w:pPr>
        <w:pStyle w:val="FirstParagraph"/>
        <w:widowControl w:val="1"/>
      </w:pPr>
      <w:r>
        <w:rPr>
          <w:rFonts w:ascii="Arial" w:hAnsi="Arial" w:eastAsia="Arial"/>
          <w:b/>
          <w:bCs/>
          <w:color w:val="263238"/>
          <w:sz w:val="19"/>
        </w:rPr>
        <w:t xml:space="preserve">Objetivo:</w:t>
      </w:r>
      <w:r>
        <w:rPr>
          <w:rFonts w:ascii="Arial" w:hAnsi="Arial" w:eastAsia="Arial"/>
          <w:color w:val="263238"/>
          <w:sz w:val="19"/>
        </w:rPr>
        <w:t xml:space="preserve"> </w:t>
      </w:r>
      <w:r>
        <w:rPr>
          <w:rFonts w:ascii="Arial" w:hAnsi="Arial" w:eastAsia="Arial"/>
          <w:color w:val="263238"/>
          <w:sz w:val="19"/>
        </w:rPr>
        <w:t xml:space="preserve">Calcular el coste real de cada transporte, identificar ineficiencias en rutas y destinos, y proponer optimizaciones concretas: reasignación de rutas, cambio de gestor destino, dimensionamiento de flota, o ajuste de la asignación de municipios a garbigunes.</w:t>
      </w:r>
    </w:p>
    <w:p>
      <w:pPr>
        <w:pStyle w:val="BodyText"/>
        <w:widowControl w:val="1"/>
      </w:pPr>
      <w:r>
        <w:rPr>
          <w:rFonts w:ascii="Arial" w:hAnsi="Arial" w:eastAsia="Arial"/>
          <w:b/>
          <w:bCs/>
          <w:color w:val="263238"/>
          <w:sz w:val="19"/>
        </w:rPr>
        <w:t xml:space="preserve">Pregunta central:</w:t>
      </w:r>
      <w:r>
        <w:rPr>
          <w:rFonts w:ascii="Arial" w:hAnsi="Arial" w:eastAsia="Arial"/>
          <w:color w:val="263238"/>
          <w:sz w:val="19"/>
        </w:rPr>
        <w:t xml:space="preserve"> </w:t>
      </w:r>
      <w:r>
        <w:rPr>
          <w:rFonts w:ascii="Arial" w:hAnsi="Arial" w:eastAsia="Arial"/>
          <w:color w:val="263238"/>
          <w:sz w:val="19"/>
        </w:rPr>
        <w:t xml:space="preserve">¿Cuánto cuesta realmente cada transporte y dónde están las mayores palancas de reducción de coste o mejora de servicio?</w:t>
      </w:r>
    </w:p>
    <w:p>
      <w:pPr>
        <w:pBdr>
          <w:bottom w:val="single" w:sz="6" w:space="3" w:color="8EA3A7"/>
        </w:pBdr>
        <w:spacing w:before="40" w:after="0" w:line="192" w:lineRule="auto"/>
        <w:widowControl w:val="1"/>
      </w:pPr>
    </w:p>
    <w:bookmarkStart w:id="27" w:name="indicadores-a-construir-1"/>
    <w:p>
      <w:pPr>
        <w:pStyle w:val="Heading3"/>
        <w:keepNext/>
        <w:pageBreakBefore w:val="0"/>
        <w:widowControl w:val="1"/>
      </w:pPr>
      <w:r>
        <w:t xml:space="preserve">Indicadores a construir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3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Indicador</w:t>
            </w:r>
          </w:p>
        </w:tc>
        <w:tc>
          <w:tcPr>
            <w:tcW w:type="dxa" w:w="63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Descripción</w:t>
            </w:r>
          </w:p>
        </w:tc>
      </w:tr>
      <w:tr>
        <w:tc>
          <w:tcPr>
            <w:tcW w:type="dxa" w:w="3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Coste por transporte</w:t>
            </w:r>
          </w:p>
        </w:tc>
        <w:tc>
          <w:tcPr>
            <w:tcW w:type="dxa" w:w="63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Combustible + conductor + peaje (si disponible)</w:t>
            </w:r>
          </w:p>
        </w:tc>
      </w:tr>
      <w:tr>
        <w:tc>
          <w:tcPr>
            <w:tcW w:type="dxa" w:w="3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Coste por kg transportado por residuo</w:t>
            </w:r>
          </w:p>
        </w:tc>
        <w:tc>
          <w:tcPr>
            <w:tcW w:type="dxa" w:w="63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Eficiencia por fracción de residuo</w:t>
            </w:r>
          </w:p>
        </w:tc>
      </w:tr>
      <w:tr>
        <w:tc>
          <w:tcPr>
            <w:tcW w:type="dxa" w:w="3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Coste por garbigune</w:t>
            </w:r>
          </w:p>
        </w:tc>
        <w:tc>
          <w:tcPr>
            <w:tcW w:type="dxa" w:w="63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Coste total de retirada de residuos de cada punto limpio</w:t>
            </w:r>
          </w:p>
        </w:tc>
      </w:tr>
      <w:tr>
        <w:tc>
          <w:tcPr>
            <w:tcW w:type="dxa" w:w="3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Distancia real vs. distancia óptima</w:t>
            </w:r>
          </w:p>
        </w:tc>
        <w:tc>
          <w:tcPr>
            <w:tcW w:type="dxa" w:w="63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Brecha entre ruta actual y ruta más corta disponible</w:t>
            </w:r>
          </w:p>
        </w:tc>
      </w:tr>
      <w:tr>
        <w:tc>
          <w:tcPr>
            <w:tcW w:type="dxa" w:w="3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Tasa de captación por municipio</w:t>
            </w:r>
          </w:p>
        </w:tc>
        <w:tc>
          <w:tcPr>
            <w:tcW w:type="dxa" w:w="63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Kg transportados / kg generados (IHOBE) por área de influencia</w:t>
            </w:r>
          </w:p>
        </w:tc>
      </w:tr>
      <w:tr>
        <w:tc>
          <w:tcPr>
            <w:tcW w:type="dxa" w:w="3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Demanda real vs. afluencia registrada</w:t>
            </w:r>
          </w:p>
        </w:tc>
        <w:tc>
          <w:tcPr>
            <w:tcW w:type="dxa" w:w="63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Entradas Actais Waste vs. Popular Times de Google Maps</w:t>
            </w:r>
          </w:p>
        </w:tc>
      </w:tr>
      <w:tr>
        <w:tc>
          <w:tcPr>
            <w:tcW w:type="dxa" w:w="3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Rating ciudadano por garbigune</w:t>
            </w:r>
          </w:p>
        </w:tc>
        <w:tc>
          <w:tcPr>
            <w:tcW w:type="dxa" w:w="63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Media de valoraciones Google + análisis de texto de reseñas</w:t>
            </w:r>
          </w:p>
        </w:tc>
      </w:tr>
      <w:tr>
        <w:tc>
          <w:tcPr>
            <w:tcW w:type="dxa" w:w="3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TCO aproximado por vehículo</w:t>
            </w:r>
          </w:p>
        </w:tc>
        <w:tc>
          <w:tcPr>
            <w:tcW w:type="dxa" w:w="63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Combustible + mantenimiento (incidencias disponibles)</w:t>
            </w:r>
          </w:p>
        </w:tc>
      </w:tr>
    </w:tbl>
    <w:p>
      <w:pPr>
        <w:pBdr>
          <w:bottom w:val="single" w:sz="6" w:space="3" w:color="8EA3A7"/>
        </w:pBdr>
        <w:spacing w:before="40" w:after="120" w:line="60" w:lineRule="auto"/>
        <w:widowControl w:val="1"/>
      </w:pPr>
    </w:p>
    <w:bookmarkEnd w:id="27"/>
    <w:bookmarkStart w:id="31" w:name="mapa-de-datos-1"/>
    <w:p>
      <w:pPr>
        <w:pStyle w:val="Heading3"/>
        <w:keepNext/>
        <w:pageBreakBefore w:val="0"/>
        <w:widowControl w:val="1"/>
      </w:pPr>
      <w:r>
        <w:t xml:space="preserve">Mapa de datos</w:t>
      </w:r>
    </w:p>
    <w:bookmarkStart w:id="28" w:name="datos-disponibles-1"/>
    <w:p>
      <w:pPr>
        <w:pStyle w:val="Heading4"/>
        <w:keepNext/>
        <w:pageBreakBefore w:val="0"/>
        <w:widowControl w:val="1"/>
      </w:pPr>
      <w:r>
        <w:t xml:space="preserve">Datos disponibles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04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Fichero</w:t>
            </w:r>
          </w:p>
        </w:tc>
        <w:tc>
          <w:tcPr>
            <w:tcW w:type="dxa" w:w="59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Qué aporta al Piloto B</w:t>
            </w:r>
          </w:p>
        </w:tc>
      </w:tr>
      <w:tr>
        <w:tc>
          <w:tcPr>
            <w:tcW w:type="dxa" w:w="4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AST_Pesadas_Garbigunes (33.851 filas, 2023–2026)</w:t>
            </w:r>
          </w:p>
        </w:tc>
        <w:tc>
          <w:tcPr>
            <w:tcW w:type="dxa" w:w="59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Núcleo del piloto: cada transporte con su garbigune origen, gestor destino, residuo, peso y conductor. Base del modelo de costes</w:t>
            </w:r>
          </w:p>
        </w:tc>
      </w:tr>
      <w:tr>
        <w:tc>
          <w:tcPr>
            <w:tcW w:type="dxa" w:w="4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AST_GarbigunesMovil-Todos (546 filas)</w:t>
            </w:r>
          </w:p>
        </w:tc>
        <w:tc>
          <w:tcPr>
            <w:tcW w:type="dxa" w:w="59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Coste adicional del servicio móvil: viajes desde municipios sin garbigune fijo hasta el punto de descarga</w:t>
            </w:r>
          </w:p>
        </w:tc>
      </w:tr>
      <w:tr>
        <w:tc>
          <w:tcPr>
            <w:tcW w:type="dxa" w:w="4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AST_2022_Incidencias_Vehículos (320 filas)</w:t>
            </w:r>
          </w:p>
        </w:tc>
        <w:tc>
          <w:tcPr>
            <w:tcW w:type="dxa" w:w="59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Componente de mantenimiento del coste por vehículo (pendiente ampliar a 2023–2026)</w:t>
            </w:r>
          </w:p>
        </w:tc>
      </w:tr>
      <w:tr>
        <w:tc>
          <w:tcPr>
            <w:tcW w:type="dxa" w:w="4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AST_20260624_Flota (16 vehículos)</w:t>
            </w:r>
          </w:p>
        </w:tc>
        <w:tc>
          <w:tcPr>
            <w:tcW w:type="dxa" w:w="59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Tipo de combustible por matrícula: indispensable para asignar precio GNC o diesel a cada transporte</w:t>
            </w:r>
          </w:p>
        </w:tc>
      </w:tr>
      <w:tr>
        <w:tc>
          <w:tcPr>
            <w:tcW w:type="dxa" w:w="4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AST_20260624_Estaciones GNC (4 estaciones)</w:t>
            </w:r>
          </w:p>
        </w:tc>
        <w:tc>
          <w:tcPr>
            <w:tcW w:type="dxa" w:w="59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Mapa de repostaje disponible para la flota de gas: condiciona qué rutas son viables para vehículos GNC</w:t>
            </w:r>
          </w:p>
        </w:tc>
      </w:tr>
      <w:tr>
        <w:tc>
          <w:tcPr>
            <w:tcW w:type="dxa" w:w="404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AST_AW_Ejemplo_Registro residuos (muestra 2 días)</w:t>
            </w:r>
          </w:p>
        </w:tc>
        <w:tc>
          <w:tcPr>
            <w:tcW w:type="dxa" w:w="59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Estructura de entradas ciudadanas por garbigune: base del análisis de demanda (pendiente extracción completa)</w:t>
            </w:r>
          </w:p>
        </w:tc>
      </w:tr>
    </w:tbl>
    <w:bookmarkEnd w:id="28"/>
    <w:bookmarkStart w:id="29" w:name="pendiente-de-solicitar-a-garbiker-1"/>
    <w:p>
      <w:pPr>
        <w:pStyle w:val="Heading4"/>
        <w:keepNext/>
        <w:pageBreakBefore w:val="0"/>
        <w:widowControl w:val="1"/>
      </w:pPr>
      <w:r>
        <w:t xml:space="preserve">Pendiente de solicitar a Garbiker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3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Fichero</w:t>
            </w:r>
          </w:p>
        </w:tc>
        <w:tc>
          <w:tcPr>
            <w:tcW w:type="dxa" w:w="55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Por qué es necesario</w:t>
            </w:r>
          </w:p>
        </w:tc>
        <w:tc>
          <w:tcPr>
            <w:tcW w:type="dxa" w:w="7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Urgencia</w:t>
            </w:r>
          </w:p>
        </w:tc>
      </w:tr>
      <w:tr>
        <w:tc>
          <w:tcPr>
            <w:tcW w:type="dxa" w:w="3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Extracción masiva Actais Waste (histórico completo)</w:t>
            </w:r>
          </w:p>
        </w:tc>
        <w:tc>
          <w:tcPr>
            <w:tcW w:type="dxa" w:w="5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Sin el histórico de entradas no hay análisis de demanda real por garbigune, ni patrón estacional, ni comparación con afluencia de Google Maps</w:t>
            </w:r>
          </w:p>
        </w:tc>
        <w:tc>
          <w:tcPr>
            <w:tcW w:type="dxa" w:w="7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🔴 Crítica</w:t>
            </w:r>
          </w:p>
        </w:tc>
      </w:tr>
      <w:tr>
        <w:tc>
          <w:tcPr>
            <w:tcW w:type="dxa" w:w="3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Histórico incidencias 2023–2026</w:t>
            </w:r>
          </w:p>
        </w:tc>
        <w:tc>
          <w:tcPr>
            <w:tcW w:type="dxa" w:w="5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Completar el coste de mantenimiento por vehículo y detectar si hay unidades con TCO desproporcionado</w:t>
            </w:r>
          </w:p>
        </w:tc>
        <w:tc>
          <w:tcPr>
            <w:tcW w:type="dxa" w:w="7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🟠 Alta</w:t>
            </w:r>
          </w:p>
        </w:tc>
      </w:tr>
      <w:tr>
        <w:tc>
          <w:tcPr>
            <w:tcW w:type="dxa" w:w="3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Relación de garbigunes por ruta de transporte</w:t>
            </w:r>
          </w:p>
        </w:tc>
        <w:tc>
          <w:tcPr>
            <w:tcW w:type="dxa" w:w="5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Mapa de qué puntos limpios sirve cada ruta: imprescindible para proponer optimizaciones de rutas</w:t>
            </w:r>
          </w:p>
        </w:tc>
        <w:tc>
          <w:tcPr>
            <w:tcW w:type="dxa" w:w="7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🟠 Alta</w:t>
            </w:r>
          </w:p>
        </w:tc>
      </w:tr>
      <w:tr>
        <w:tc>
          <w:tcPr>
            <w:tcW w:type="dxa" w:w="3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Información de pasos por arcos de autopista</w:t>
            </w:r>
          </w:p>
        </w:tc>
        <w:tc>
          <w:tcPr>
            <w:tcW w:type="dxa" w:w="5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Componente de peaje del coste variable por transporte. Prometido por el cliente</w:t>
            </w:r>
          </w:p>
        </w:tc>
        <w:tc>
          <w:tcPr>
            <w:tcW w:type="dxa" w:w="7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🟠 Alta</w:t>
            </w:r>
          </w:p>
        </w:tc>
      </w:tr>
      <w:tr>
        <w:tc>
          <w:tcPr>
            <w:tcW w:type="dxa" w:w="3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Garbigune asignado a cada municipio</w:t>
            </w:r>
          </w:p>
        </w:tc>
        <w:tc>
          <w:tcPr>
            <w:tcW w:type="dxa" w:w="5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Asignación territorial oficial: base para evaluar si la asignación actual es óptima por distancia</w:t>
            </w:r>
          </w:p>
        </w:tc>
        <w:tc>
          <w:tcPr>
            <w:tcW w:type="dxa" w:w="7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🟠 Alta</w:t>
            </w:r>
          </w:p>
        </w:tc>
      </w:tr>
      <w:tr>
        <w:tc>
          <w:tcPr>
            <w:tcW w:type="dxa" w:w="3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Datos GPS históricos de vehículos</w:t>
            </w:r>
          </w:p>
        </w:tc>
        <w:tc>
          <w:tcPr>
            <w:tcW w:type="dxa" w:w="5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Ruta real conducida por cada transporte: permite comparar con la ruta óptima de Google Maps y detectar desviaciones</w:t>
            </w:r>
          </w:p>
        </w:tc>
        <w:tc>
          <w:tcPr>
            <w:tcW w:type="dxa" w:w="7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🟡 Media</w:t>
            </w:r>
          </w:p>
        </w:tc>
      </w:tr>
      <w:tr>
        <w:tc>
          <w:tcPr>
            <w:tcW w:type="dxa" w:w="3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Tabla asignación conductor–ruta–vehículo</w:t>
            </w:r>
          </w:p>
        </w:tc>
        <w:tc>
          <w:tcPr>
            <w:tcW w:type="dxa" w:w="5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Controlar el efecto de la ruta al calcular el coste por conductor</w:t>
            </w:r>
          </w:p>
        </w:tc>
        <w:tc>
          <w:tcPr>
            <w:tcW w:type="dxa" w:w="7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🟡 Media</w:t>
            </w:r>
          </w:p>
        </w:tc>
      </w:tr>
      <w:tr>
        <w:tc>
          <w:tcPr>
            <w:tcW w:type="dxa" w:w="3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Ayuntamientos conveniados y límites de depósito</w:t>
            </w:r>
          </w:p>
        </w:tc>
        <w:tc>
          <w:tcPr>
            <w:tcW w:type="dxa" w:w="5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Contexto normativo de los destinos: qué gestores y qué residuos están conveniados</w:t>
            </w:r>
          </w:p>
        </w:tc>
        <w:tc>
          <w:tcPr>
            <w:tcW w:type="dxa" w:w="7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🟡 Media</w:t>
            </w:r>
          </w:p>
        </w:tc>
      </w:tr>
    </w:tbl>
    <w:bookmarkEnd w:id="29"/>
    <w:bookmarkStart w:id="30" w:name="fuentes-externas-1"/>
    <w:p>
      <w:pPr>
        <w:pStyle w:val="Heading4"/>
        <w:keepNext/>
        <w:pageBreakBefore w:val="0"/>
        <w:widowControl w:val="1"/>
      </w:pPr>
      <w:r>
        <w:t xml:space="preserve">Fuentes externas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36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Fuente</w:t>
            </w:r>
          </w:p>
        </w:tc>
        <w:tc>
          <w:tcPr>
            <w:tcW w:type="dxa" w:w="64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Qué aporta al Piloto B</w:t>
            </w:r>
          </w:p>
        </w:tc>
      </w:tr>
      <w:tr>
        <w:tc>
          <w:tcPr>
            <w:tcW w:type="dxa" w:w="36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Google Maps — Distance Matrix</w:t>
            </w:r>
          </w:p>
        </w:tc>
        <w:tc>
          <w:tcPr>
            <w:tcW w:type="dxa" w:w="64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Distancia real y tiempo de trayecto entre los 35 garbigunes y los 18 gestores (630 pares). Base del modelo de coste por ruta</w:t>
            </w:r>
          </w:p>
        </w:tc>
      </w:tr>
      <w:tr>
        <w:tc>
          <w:tcPr>
            <w:tcW w:type="dxa" w:w="36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Google Maps — Ficha de negocio (Places)</w:t>
            </w:r>
          </w:p>
        </w:tc>
        <w:tc>
          <w:tcPr>
            <w:tcW w:type="dxa" w:w="64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Rating, reseñas y fotos de cada garbigune: proxy de calidad percibida del servicio y detección de puntos problemáticos</w:t>
            </w:r>
          </w:p>
        </w:tc>
      </w:tr>
      <w:tr>
        <w:tc>
          <w:tcPr>
            <w:tcW w:type="dxa" w:w="36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Google Maps — Popular Times</w:t>
            </w:r>
          </w:p>
        </w:tc>
        <w:tc>
          <w:tcPr>
            <w:tcW w:type="dxa" w:w="64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Curva de afluencia por hora y día de la semana en cada garbigune: cruzar con entradas de Actais Waste para detectar picos no registrados o sub-cobertura horaria</w:t>
            </w:r>
          </w:p>
        </w:tc>
      </w:tr>
      <w:tr>
        <w:tc>
          <w:tcPr>
            <w:tcW w:type="dxa" w:w="36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IHOBE — Generación de residuos</w:t>
            </w:r>
          </w:p>
        </w:tc>
        <w:tc>
          <w:tcPr>
            <w:tcW w:type="dxa" w:w="64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Kg generados por municipio y fracción: calcula la tasa de captación real de cada garbigune y detecta zonas con bajo aprovechamiento del servicio</w:t>
            </w:r>
          </w:p>
        </w:tc>
      </w:tr>
      <w:tr>
        <w:tc>
          <w:tcPr>
            <w:tcW w:type="dxa" w:w="36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EUSTAT — Población y actividad económica</w:t>
            </w:r>
          </w:p>
        </w:tc>
        <w:tc>
          <w:tcPr>
            <w:tcW w:type="dxa" w:w="64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Normaliza transportes y entradas en kg/habitante para hacer comparables garbigunes de municipios de distintos tamaños. Explica picos de RAEEs o RCD por presencia industrial</w:t>
            </w:r>
          </w:p>
        </w:tc>
      </w:tr>
      <w:tr>
        <w:tc>
          <w:tcPr>
            <w:tcW w:type="dxa" w:w="36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CNMC / CORES — Precios de combustible</w:t>
            </w:r>
          </w:p>
        </w:tc>
        <w:tc>
          <w:tcPr>
            <w:tcW w:type="dxa" w:w="64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Precio histórico de GNC y diesel mes a mes: asigna el coste de combustible real a cada transporte cruzando matrícula + fecha</w:t>
            </w:r>
          </w:p>
        </w:tc>
      </w:tr>
      <w:tr>
        <w:tc>
          <w:tcPr>
            <w:tcW w:type="dxa" w:w="36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Diputación Foral de Bizkaia — GIS municipal</w:t>
            </w:r>
          </w:p>
        </w:tc>
        <w:tc>
          <w:tcPr>
            <w:tcW w:type="dxa" w:w="64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Geometría oficial de los 112 municipios: base del análisis geoespacial de asignaciones y distancias. Normaliza nombres de municipios entre fuentes con código INE</w:t>
            </w:r>
          </w:p>
        </w:tc>
      </w:tr>
      <w:tr>
        <w:tc>
          <w:tcPr>
            <w:tcW w:type="dxa" w:w="36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AEMET — Meteorología histórica</w:t>
            </w:r>
          </w:p>
        </w:tc>
        <w:tc>
          <w:tcPr>
            <w:tcW w:type="dxa" w:w="64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Variable explicativa de la demanda estacional: lluvia y temperatura influyen en el volumen de jardinería/podas y en la afluencia ciudadana a los puntos limpios</w:t>
            </w:r>
          </w:p>
        </w:tc>
      </w:tr>
    </w:tbl>
    <w:p>
      <w:pPr>
        <w:pBdr>
          <w:bottom w:val="single" w:sz="6" w:space="3" w:color="8EA3A7"/>
        </w:pBdr>
        <w:spacing w:before="40" w:after="0" w:line="192" w:lineRule="auto"/>
        <w:widowControl w:val="1"/>
      </w:pPr>
    </w:p>
    <w:bookmarkEnd w:id="30"/>
    <w:bookmarkEnd w:id="31"/>
    <w:bookmarkStart w:id="32" w:name="flujo-de-construcción-del-análisis-1"/>
    <w:p>
      <w:pPr>
        <w:pStyle w:val="Heading3"/>
        <w:keepNext/>
        <w:pageBreakBefore w:val="0"/>
        <w:widowControl w:val="1"/>
      </w:pPr>
      <w:r>
        <w:t xml:space="preserve">Flujo de construcción del análisis</w:t>
      </w:r>
    </w:p>
    <w:p>
      <w:pPr>
        <w:pStyle w:val="SourceCode"/>
        <w:shd w:fill="F1F4F4"/>
        <w:widowControl w:val="1"/>
      </w:pPr>
      <w:r>
        <w:rPr>
          <w:rStyle w:val="VerbatimChar"/>
          <w:rFonts w:ascii="Consolas" w:hAnsi="Consolas" w:eastAsia="Consolas"/>
          <w:color w:val="263238"/>
          <w:sz w:val="16"/>
        </w:rPr>
        <w:t xml:space="preserve">Pesadas (transporte × residuo × garbigune × gestor × matrícula)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Flota (combustible por matrícula)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× CNMC (precio combustible por fecha)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──────────────────────────────────→ Coste combustible por transporte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BOPV (coste conductor por hora)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× Cuadrantes (horas por turno)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──────────────────────────────────→ Coste personal por transporte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Peajes AP-8 (si llegan)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──────────────────────────────────→ Coste total por transporte (€)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Google Maps Distance Matrix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──────────────────────────────────→ Coste óptimo teórico por ruta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                                    Brecha real vs. óptimo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Incidencias + Flota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──────────────────────────────────→ TCO aproximado por vehículo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Actais Waste (histórico completo)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× EUSTAT (población)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× IHOBE (generación residuos)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× AEMET (clima)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× Google Maps Popular Times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──────────────────────────────────→ Modelo de demanda por garbigune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                                    Tasa de captación por municipio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├──── × Google Maps Places (rating + reseñas)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           ──────────────────────────────────→ Calidad percibida por garbigune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│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└──── × Diputación Foral GIS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            × Asignación municipio-garbigune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            ──────────────────────────────────→ Propuesta de optimización</w:t>
      </w:r>
      <w:r>
        <w:rPr>
          <w:rFonts w:ascii="Consolas" w:hAnsi="Consolas" w:eastAsia="Consolas"/>
          <w:color w:val="263238"/>
          <w:sz w:val="16"/>
        </w:rPr>
        <w:br/>
      </w:r>
      <w:r>
        <w:rPr>
          <w:rStyle w:val="VerbatimChar"/>
          <w:rFonts w:ascii="Consolas" w:hAnsi="Consolas" w:eastAsia="Consolas"/>
          <w:color w:val="263238"/>
          <w:sz w:val="16"/>
        </w:rPr>
        <w:t xml:space="preserve">                                                        de rutas y asignaciones</w:t>
      </w:r>
    </w:p>
    <w:p>
      <w:pPr>
        <w:pBdr>
          <w:bottom w:val="single" w:sz="6" w:space="3" w:color="8EA3A7"/>
        </w:pBdr>
        <w:spacing w:before="40" w:after="0" w:line="192" w:lineRule="auto"/>
        <w:widowControl w:val="1"/>
      </w:pPr>
    </w:p>
    <w:bookmarkEnd w:id="32"/>
    <w:bookmarkEnd w:id="33"/>
    <w:bookmarkStart w:id="34" w:name="datos-compartidos-entre-ambos-pilotos"/>
    <w:p>
      <w:pPr>
        <w:pStyle w:val="Heading2"/>
        <w:keepNext/>
        <w:pageBreakBefore/>
        <w:widowControl w:val="1"/>
      </w:pPr>
      <w:r>
        <w:t xml:space="preserve">Datos compartidos entre ambos pilotos</w:t>
      </w:r>
    </w:p>
    <w:p>
      <w:pPr>
        <w:pStyle w:val="FirstParagraph"/>
        <w:widowControl w:val="1"/>
      </w:pPr>
      <w:r>
        <w:rPr>
          <w:rFonts w:ascii="Arial" w:hAnsi="Arial" w:eastAsia="Arial"/>
          <w:color w:val="263238"/>
          <w:sz w:val="19"/>
        </w:rPr>
        <w:t xml:space="preserve">Algunos datasets alimentan los dos pilotos aunque con propósitos distintos: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9BCC0"/>
          <w:left w:val="single" w:sz="4" w:space="0" w:color="A9BCC0"/>
          <w:bottom w:val="single" w:sz="4" w:space="0" w:color="A9BCC0"/>
          <w:right w:val="single" w:sz="4" w:space="0" w:color="A9BCC0"/>
          <w:insideH w:val="single" w:sz="4" w:space="0" w:color="A9BCC0"/>
          <w:insideV w:val="single" w:sz="4" w:space="0" w:color="A9BCC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Dato</w:t>
            </w:r>
          </w:p>
        </w:tc>
        <w:tc>
          <w:tcPr>
            <w:tcW w:type="dxa" w:w="36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Uso en Piloto A</w:t>
            </w:r>
          </w:p>
        </w:tc>
        <w:tc>
          <w:tcPr>
            <w:tcW w:type="dxa" w:w="35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5C61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Uso en Piloto B</w:t>
            </w:r>
          </w:p>
        </w:tc>
      </w:tr>
      <w:tr>
        <w:tc>
          <w:tcPr>
            <w:tcW w:type="dxa" w:w="2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BOPV — Convenio colectivo</w:t>
            </w:r>
          </w:p>
        </w:tc>
        <w:tc>
          <w:tcPr>
            <w:tcW w:type="dxa" w:w="36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Coste real por conductor</w:t>
            </w:r>
          </w:p>
        </w:tc>
        <w:tc>
          <w:tcPr>
            <w:tcW w:type="dxa" w:w="35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Coste de personal por transporte</w:t>
            </w:r>
          </w:p>
        </w:tc>
      </w:tr>
      <w:tr>
        <w:tc>
          <w:tcPr>
            <w:tcW w:type="dxa" w:w="2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Incidencias de vehículos (completas)</w:t>
            </w:r>
          </w:p>
        </w:tc>
        <w:tc>
          <w:tcPr>
            <w:tcW w:type="dxa" w:w="36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Tasa de averías por conductor</w:t>
            </w:r>
          </w:p>
        </w:tc>
        <w:tc>
          <w:tcPr>
            <w:tcW w:type="dxa" w:w="35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TCO por vehículo</w:t>
            </w:r>
          </w:p>
        </w:tc>
      </w:tr>
      <w:tr>
        <w:tc>
          <w:tcPr>
            <w:tcW w:type="dxa" w:w="2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Tabla asignación conductor–ruta</w:t>
            </w:r>
          </w:p>
        </w:tc>
        <w:tc>
          <w:tcPr>
            <w:tcW w:type="dxa" w:w="36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Control: separar efecto persona de efecto ruta</w:t>
            </w:r>
          </w:p>
        </w:tc>
        <w:tc>
          <w:tcPr>
            <w:tcW w:type="dxa" w:w="35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Control: asignar coste de personal a ruta correcta</w:t>
            </w:r>
          </w:p>
        </w:tc>
      </w:tr>
      <w:tr>
        <w:tc>
          <w:tcPr>
            <w:tcW w:type="dxa" w:w="2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Actais Waste — campo Operador</w:t>
            </w:r>
          </w:p>
        </w:tc>
        <w:tc>
          <w:tcPr>
            <w:tcW w:type="dxa" w:w="36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Rendimiento de operarios de garbigune</w:t>
            </w:r>
          </w:p>
        </w:tc>
        <w:tc>
          <w:tcPr>
            <w:tcW w:type="dxa" w:w="35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—</w:t>
            </w:r>
          </w:p>
        </w:tc>
      </w:tr>
      <w:tr>
        <w:tc>
          <w:tcPr>
            <w:tcW w:type="dxa" w:w="2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Actais Waste — histórico completo</w:t>
            </w:r>
          </w:p>
        </w:tc>
        <w:tc>
          <w:tcPr>
            <w:tcW w:type="dxa" w:w="36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—</w:t>
            </w:r>
          </w:p>
        </w:tc>
        <w:tc>
          <w:tcPr>
            <w:tcW w:type="dxa" w:w="35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Modelo de demanda y afluencia real</w:t>
            </w:r>
          </w:p>
        </w:tc>
      </w:tr>
      <w:tr>
        <w:tc>
          <w:tcPr>
            <w:tcW w:type="dxa" w:w="2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AEMET</w:t>
            </w:r>
          </w:p>
        </w:tc>
        <w:tc>
          <w:tcPr>
            <w:tcW w:type="dxa" w:w="36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Control: clima adverso en rendimiento</w:t>
            </w:r>
          </w:p>
        </w:tc>
        <w:tc>
          <w:tcPr>
            <w:tcW w:type="dxa" w:w="35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8"/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Modelado de demanda estacional</w:t>
            </w:r>
          </w:p>
        </w:tc>
      </w:tr>
      <w:tr>
        <w:tc>
          <w:tcPr>
            <w:tcW w:type="dxa" w:w="2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Garbiker.eus — Horarios</w:t>
            </w:r>
          </w:p>
        </w:tc>
        <w:tc>
          <w:tcPr>
            <w:tcW w:type="dxa" w:w="36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Normalización por horas de apertura (operarios)</w:t>
            </w:r>
          </w:p>
        </w:tc>
        <w:tc>
          <w:tcPr>
            <w:tcW w:type="dxa" w:w="35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keepLines w:val="0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263238"/>
                <w:sz w:val="17"/>
              </w:rPr>
              <w:t xml:space="preserve">Ajuste de entradas por días de servicio efectivos</w:t>
            </w:r>
          </w:p>
        </w:tc>
      </w:tr>
    </w:tbl>
    <w:p>
      <w:pPr>
        <w:pBdr>
          <w:bottom w:val="single" w:sz="6" w:space="3" w:color="8EA3A7"/>
        </w:pBdr>
        <w:spacing w:before="40" w:after="0" w:line="192" w:lineRule="auto"/>
        <w:widowControl w:val="1"/>
      </w:pPr>
    </w:p>
    <w:p>
      <w:pPr>
        <w:pStyle w:val="FirstParagraph"/>
        <w:widowControl w:val="1"/>
      </w:pPr>
      <w:r>
        <w:rPr>
          <w:rFonts w:ascii="Arial" w:hAnsi="Arial" w:eastAsia="Arial"/>
          <w:i/>
          <w:iCs/>
          <w:color w:val="263238"/>
          <w:sz w:val="19"/>
        </w:rPr>
        <w:t xml:space="preserve">Documento generado el 25 de junio de 2026 — Astara Intelligence para Garbiker</w:t>
      </w:r>
    </w:p>
    <w:bookmarkEnd w:id="34"/>
    <w:bookmarkEnd w:id="35"/>
    <w:sectPr>
      <w:headerReference w:type="default" r:id="rId9"/>
      <w:footerReference w:type="default" r:id="rId10"/>
      <w:pgSz w:w="11906" w:h="16838"/>
      <w:pgMar w:top="964" w:bottom="879" w:left="935" w:right="935" w:header="369" w:footer="36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18"/>
      <w:gridCol w:w="5018"/>
    </w:tblGrid>
    <w:tr>
      <w:tc>
        <w:tcPr>
          <w:tcW w:type="dxa" w:w="501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 w:eastAsia="Arial"/>
              <w:color w:val="52666A"/>
              <w:sz w:val="15"/>
            </w:rPr>
            <w:t>Documento de trabajo · 25 de junio de 2026</w:t>
          </w:r>
        </w:p>
      </w:tc>
      <w:tc>
        <w:tcPr>
          <w:tcW w:type="dxa" w:w="501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color w:val="52666A"/>
              <w:sz w:val="16"/>
            </w:rPr>
            <w:t xml:space="preserve">Página </w:t>
            <w:fldChar w:fldCharType="begin"/>
            <w:instrText xml:space="preserve"> PAGE </w:instrText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A9BCC0"/>
      </w:pBdr>
    </w:pPr>
    <w:r>
      <w:rPr>
        <w:rFonts w:ascii="Arial" w:hAnsi="Arial" w:eastAsia="Arial"/>
        <w:b/>
        <w:color w:val="52666A"/>
        <w:sz w:val="15"/>
      </w:rPr>
      <w:t>GARBIKER  |  ASTARA INTELLIGENCE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rial" w:hAnsi="Arial" w:eastAsia="Arial"/>
      <w:b w:val="0"/>
      <w:color w:val="263238"/>
      <w:sz w:val="20"/>
    </w:rPr>
  </w:style>
  <w:style w:styleId="BodyText" w:type="paragraph">
    <w:name w:val="Body Text"/>
    <w:basedOn w:val="Normal"/>
    <w:link w:val="BodyTextChar"/>
    <w:qFormat/>
    <w:pPr>
      <w:spacing w:after="80" w:before="180" w:line="252" w:lineRule="auto"/>
    </w:pPr>
    <w:rPr>
      <w:rFonts w:ascii="Arial" w:hAnsi="Arial" w:eastAsia="Arial"/>
      <w:b w:val="0"/>
      <w:color w:val="263238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80" w:line="252" w:lineRule="auto"/>
    </w:pPr>
    <w:rPr>
      <w:rFonts w:ascii="Arial" w:hAnsi="Arial" w:eastAsia="Arial"/>
      <w:b w:val="0"/>
      <w:color w:val="263238"/>
      <w:sz w:val="19"/>
    </w:rPr>
  </w:style>
  <w:style w:customStyle="1" w:styleId="Compact" w:type="paragraph">
    <w:name w:val="Compact"/>
    <w:basedOn w:val="BodyText"/>
    <w:qFormat/>
    <w:pPr>
      <w:spacing w:after="80" w:before="36" w:line="252" w:lineRule="auto"/>
    </w:pPr>
    <w:rPr>
      <w:rFonts w:ascii="Arial" w:hAnsi="Arial" w:eastAsia="Arial"/>
      <w:b w:val="0"/>
      <w:color w:val="263238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44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85C61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b w:val="0"/>
      <w:color w:val="185C61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120" w:line="240" w:lineRule="auto"/>
      <w:ind w:left="170" w:right="113"/>
    </w:pPr>
    <w:rPr>
      <w:rFonts w:ascii="Consolas" w:hAnsi="Consolas" w:eastAsia="Consolas"/>
      <w:b w:val="0"/>
      <w:color w:val="263238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pilotos — Garbiker</dc:title>
  <dc:creator>Astara Intelligence</dc:creator>
  <cp:keywords>Garbiker, datos, pilotos, fuentes, auditoría</cp:keywords>
  <dcterms:created xsi:type="dcterms:W3CDTF">2026-06-25T10:12:22Z</dcterms:created>
  <dcterms:modified xsi:type="dcterms:W3CDTF">2026-06-25T10:12:22Z</dcterms:modified>
  <dc:subject>Garbiker — Astara Intelligence</dc:subject>
  <dc:description>Conversión a Word del documento Markdown original.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