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opuesta-de-fuentes-de-datos--garbiker"/>
    <w:p>
      <w:pPr>
        <w:pStyle w:val="Title"/>
        <w:jc w:val="left"/>
        <w:pBdr>
          <w:bottom w:val="single" w:sz="16" w:space="8" w:color="185C61"/>
        </w:pBdr>
        <w:widowControl w:val="1"/>
      </w:pPr>
      <w:r>
        <w:t xml:space="preserve">Propuesta de fuentes de datos — Garbiker</w:t>
      </w:r>
    </w:p>
    <w:p>
      <w:pPr>
        <w:pStyle w:val="FirstParagraph"/>
        <w:spacing w:after="240"/>
        <w:widowControl w:val="1"/>
      </w:pPr>
      <w:r>
        <w:rPr>
          <w:rFonts w:ascii="Arial" w:hAnsi="Arial" w:eastAsia="Arial"/>
          <w:b/>
          <w:bCs/>
          <w:color w:val="52666A"/>
          <w:sz w:val="18"/>
        </w:rPr>
        <w:t xml:space="preserve">Fecha:</w:t>
      </w:r>
      <w:r>
        <w:rPr>
          <w:rFonts w:ascii="Arial" w:hAnsi="Arial" w:eastAsia="Arial"/>
          <w:color w:val="52666A"/>
          <w:sz w:val="18"/>
        </w:rPr>
        <w:t xml:space="preserve"> </w:t>
      </w:r>
      <w:r>
        <w:rPr>
          <w:rFonts w:ascii="Arial" w:hAnsi="Arial" w:eastAsia="Arial"/>
          <w:color w:val="52666A"/>
          <w:sz w:val="18"/>
        </w:rPr>
        <w:t xml:space="preserve">25 de junio de 2026</w:t>
      </w:r>
      <w:r>
        <w:rPr>
          <w:rFonts w:ascii="Arial" w:hAnsi="Arial" w:eastAsia="Arial"/>
          <w:color w:val="52666A"/>
          <w:sz w:val="18"/>
        </w:rPr>
        <w:br/>
      </w:r>
      <w:r>
        <w:rPr>
          <w:rFonts w:ascii="Arial" w:hAnsi="Arial" w:eastAsia="Arial"/>
          <w:b/>
          <w:bCs/>
          <w:color w:val="52666A"/>
          <w:sz w:val="18"/>
        </w:rPr>
        <w:t xml:space="preserve">Preparado por:</w:t>
      </w:r>
      <w:r>
        <w:rPr>
          <w:rFonts w:ascii="Arial" w:hAnsi="Arial" w:eastAsia="Arial"/>
          <w:color w:val="52666A"/>
          <w:sz w:val="18"/>
        </w:rPr>
        <w:t xml:space="preserve"> </w:t>
      </w:r>
      <w:r>
        <w:rPr>
          <w:rFonts w:ascii="Arial" w:hAnsi="Arial" w:eastAsia="Arial"/>
          <w:color w:val="52666A"/>
          <w:sz w:val="18"/>
        </w:rPr>
        <w:t xml:space="preserve">Astara Intelligence</w:t>
      </w:r>
    </w:p>
    <w:p>
      <w:pPr>
        <w:pBdr>
          <w:bottom w:val="single" w:sz="6" w:space="3" w:color="8EA3A7"/>
        </w:pBdr>
        <w:spacing w:before="40" w:after="120" w:line="60" w:lineRule="auto"/>
        <w:widowControl w:val="1"/>
      </w:pPr>
    </w:p>
    <w:bookmarkStart w:id="20" w:name="contexto-los-dos-pilotos"/>
    <w:p>
      <w:pPr>
        <w:pStyle w:val="Heading2"/>
        <w:keepNext/>
        <w:pageBreakBefore w:val="0"/>
        <w:widowControl w:val="1"/>
      </w:pPr>
      <w:r>
        <w:t xml:space="preserve">Contexto: los dos pilotos</w:t>
      </w:r>
    </w:p>
    <w:p>
      <w:pPr>
        <w:pStyle w:val="FirstParagraph"/>
        <w:widowControl w:val="1"/>
      </w:pPr>
      <w:r>
        <w:rPr>
          <w:rFonts w:ascii="Arial" w:hAnsi="Arial" w:eastAsia="Arial"/>
          <w:b/>
          <w:bCs/>
          <w:color w:val="263238"/>
          <w:sz w:val="19"/>
        </w:rPr>
        <w:t xml:space="preserve">Piloto A — Análisis de personal:</w:t>
      </w:r>
      <w:r>
        <w:rPr>
          <w:rFonts w:ascii="Arial" w:hAnsi="Arial" w:eastAsia="Arial"/>
          <w:color w:val="263238"/>
          <w:sz w:val="19"/>
        </w:rPr>
        <w:t xml:space="preserve"> </w:t>
      </w:r>
      <w:r>
        <w:rPr>
          <w:rFonts w:ascii="Arial" w:hAnsi="Arial" w:eastAsia="Arial"/>
          <w:color w:val="263238"/>
          <w:sz w:val="19"/>
        </w:rPr>
        <w:t xml:space="preserve">identificar quién desarrolla su tarea mejor y peor (conductores anonimizados). Variables clave: productividad por conductor, absentismo/refuerzos, horas extra, incidencias causadas, rendimiento por ruta.</w:t>
      </w:r>
    </w:p>
    <w:p>
      <w:pPr>
        <w:pStyle w:val="BodyText"/>
        <w:widowControl w:val="1"/>
      </w:pPr>
      <w:r>
        <w:rPr>
          <w:rFonts w:ascii="Arial" w:hAnsi="Arial" w:eastAsia="Arial"/>
          <w:b/>
          <w:bCs/>
          <w:color w:val="263238"/>
          <w:sz w:val="19"/>
        </w:rPr>
        <w:t xml:space="preserve">Piloto B — Estudio de ingresos, costes y optimizaciones:</w:t>
      </w:r>
      <w:r>
        <w:rPr>
          <w:rFonts w:ascii="Arial" w:hAnsi="Arial" w:eastAsia="Arial"/>
          <w:color w:val="263238"/>
          <w:sz w:val="19"/>
        </w:rPr>
        <w:t xml:space="preserve"> </w:t>
      </w:r>
      <w:r>
        <w:rPr>
          <w:rFonts w:ascii="Arial" w:hAnsi="Arial" w:eastAsia="Arial"/>
          <w:color w:val="263238"/>
          <w:sz w:val="19"/>
        </w:rPr>
        <w:t xml:space="preserve">análisis económico del servicio sobre activos (flota), rutas y logística. Variables clave: coste por transporte, eficiencia de rutas, optimización de destinos, planificación de capacidad.</w:t>
      </w:r>
    </w:p>
    <w:p>
      <w:pPr>
        <w:pStyle w:val="BodyText"/>
        <w:widowControl w:val="1"/>
      </w:pPr>
      <w:r>
        <w:rPr>
          <w:rFonts w:ascii="Arial" w:hAnsi="Arial" w:eastAsia="Arial"/>
          <w:color w:val="263238"/>
          <w:sz w:val="19"/>
        </w:rPr>
        <w:t xml:space="preserve">Ambos pilotos aplican a todo el territorio (sin segmentación geográfica).</w:t>
      </w:r>
    </w:p>
    <w:p>
      <w:pPr>
        <w:pBdr>
          <w:bottom w:val="single" w:sz="6" w:space="3" w:color="8EA3A7"/>
        </w:pBdr>
        <w:spacing w:before="40" w:after="0" w:line="192" w:lineRule="auto"/>
        <w:widowControl w:val="1"/>
      </w:pPr>
    </w:p>
    <w:bookmarkEnd w:id="20"/>
    <w:bookmarkStart w:id="28" w:name="X9c9242b779a8fce8f1a22b873a8f3b56746a6dc"/>
    <w:p>
      <w:pPr>
        <w:pStyle w:val="Heading2"/>
        <w:keepNext/>
        <w:pageBreakBefore w:val="0"/>
        <w:widowControl w:val="1"/>
      </w:pPr>
      <w:r>
        <w:t xml:space="preserve">0. Fuentes internas pendientes de solicitar</w:t>
      </w:r>
    </w:p>
    <w:p>
      <w:pPr>
        <w:pStyle w:val="FirstParagraph"/>
        <w:widowControl w:val="1"/>
      </w:pPr>
      <w:r>
        <w:rPr>
          <w:rFonts w:ascii="Arial" w:hAnsi="Arial" w:eastAsia="Arial"/>
          <w:color w:val="263238"/>
          <w:sz w:val="19"/>
        </w:rPr>
        <w:t xml:space="preserve">Antes de recurrir a fuentes externas, el análisis de personal requiere varios ficheros internos que o bien no están en la carpeta entregada o bien están incompletos. Se recomienda solicitarlos explícitamente al cliente.</w:t>
      </w:r>
    </w:p>
    <w:bookmarkStart w:id="21" w:name="X32212cdcd48f6756b23e314dd5e0c7e13887d0c"/>
    <w:p>
      <w:pPr>
        <w:pStyle w:val="Heading3"/>
        <w:keepNext/>
        <w:pageBreakBefore w:val="0"/>
        <w:widowControl w:val="1"/>
      </w:pPr>
      <w:r>
        <w:t xml:space="preserve">0.1 AST_Coberturas-TODOS ⚠️ Mencionado en el email pero no entregado — Piloto A</w:t>
      </w:r>
    </w:p>
    <w:p>
      <w:pPr>
        <w:pStyle w:val="FirstParagraph"/>
        <w:widowControl w:val="1"/>
      </w:pPr>
      <w:r>
        <w:rPr>
          <w:rFonts w:ascii="Arial" w:hAnsi="Arial" w:eastAsia="Arial"/>
          <w:b/>
          <w:bCs/>
          <w:color w:val="263238"/>
          <w:sz w:val="19"/>
        </w:rPr>
        <w:t xml:space="preserve">Estado:</w:t>
      </w:r>
      <w:r>
        <w:rPr>
          <w:rFonts w:ascii="Arial" w:hAnsi="Arial" w:eastAsia="Arial"/>
          <w:color w:val="263238"/>
          <w:sz w:val="19"/>
        </w:rPr>
        <w:t xml:space="preserve"> </w:t>
      </w:r>
      <w:r>
        <w:rPr>
          <w:rFonts w:ascii="Arial" w:hAnsi="Arial" w:eastAsia="Arial"/>
          <w:color w:val="263238"/>
          <w:sz w:val="19"/>
        </w:rPr>
        <w:t xml:space="preserve">Pendiente de recibir</w:t>
      </w:r>
    </w:p>
    <w:p>
      <w:pPr>
        <w:pStyle w:val="BodyText"/>
        <w:widowControl w:val="1"/>
      </w:pPr>
      <w:r>
        <w:rPr>
          <w:rFonts w:ascii="Arial" w:hAnsi="Arial" w:eastAsia="Arial"/>
          <w:color w:val="263238"/>
          <w:sz w:val="19"/>
        </w:rPr>
        <w:t xml:space="preserve">Es el fichero más importante que falta para el Piloto A. Mientras que los Refuerzos registran días con personal adicional, las Coberturas registran ausencias y sustituciones: quién faltó, por qué motivo (IT, vacaciones, formación, asuntos propios…) y quién le cubrió. Sin él no es posible calcular tasas de absentismo ni el coste real de las ausencias por perfil.</w:t>
      </w:r>
    </w:p>
    <w:p>
      <w:pPr>
        <w:pStyle w:val="BodyText"/>
        <w:widowControl w:val="1"/>
      </w:pPr>
      <w:r>
        <w:rPr>
          <w:rFonts w:ascii="Arial" w:hAnsi="Arial" w:eastAsia="Arial"/>
          <w:b/>
          <w:bCs/>
          <w:color w:val="263238"/>
          <w:sz w:val="19"/>
        </w:rPr>
        <w:t xml:space="preserve">Campos esperados:</w:t>
      </w:r>
      <w:r>
        <w:rPr>
          <w:rFonts w:ascii="Arial" w:hAnsi="Arial" w:eastAsia="Arial"/>
          <w:color w:val="263238"/>
          <w:sz w:val="19"/>
        </w:rPr>
        <w:t xml:space="preserve"> </w:t>
      </w:r>
      <w:r>
        <w:rPr>
          <w:rFonts w:ascii="Arial" w:hAnsi="Arial" w:eastAsia="Arial"/>
          <w:color w:val="263238"/>
          <w:sz w:val="19"/>
        </w:rPr>
        <w:t xml:space="preserve">Fecha, Persona cubierta, Persona que cubre, Motivo (tipificado), Centro, Autor registro.</w:t>
      </w:r>
      <w:r>
        <w:rPr>
          <w:rFonts w:ascii="Arial" w:hAnsi="Arial" w:eastAsia="Arial"/>
          <w:color w:val="263238"/>
          <w:sz w:val="19"/>
        </w:rPr>
        <w:br/>
      </w:r>
      <w:r>
        <w:rPr>
          <w:rFonts w:ascii="Arial" w:hAnsi="Arial" w:eastAsia="Arial"/>
          <w:b/>
          <w:bCs/>
          <w:color w:val="263238"/>
          <w:sz w:val="19"/>
        </w:rPr>
        <w:t xml:space="preserve">Cobertura temporal esperada:</w:t>
      </w:r>
      <w:r>
        <w:rPr>
          <w:rFonts w:ascii="Arial" w:hAnsi="Arial" w:eastAsia="Arial"/>
          <w:color w:val="263238"/>
          <w:sz w:val="19"/>
        </w:rPr>
        <w:t xml:space="preserve"> </w:t>
      </w:r>
      <w:r>
        <w:rPr>
          <w:rFonts w:ascii="Arial" w:hAnsi="Arial" w:eastAsia="Arial"/>
          <w:color w:val="263238"/>
          <w:sz w:val="19"/>
        </w:rPr>
        <w:t xml:space="preserve">Histórico desde 2019, coherente con el resto de ficheros de personal.</w:t>
      </w:r>
    </w:p>
    <w:p>
      <w:pPr>
        <w:pBdr>
          <w:bottom w:val="single" w:sz="6" w:space="3" w:color="8EA3A7"/>
        </w:pBdr>
        <w:spacing w:before="40" w:after="0" w:line="192" w:lineRule="auto"/>
        <w:widowControl w:val="1"/>
      </w:pPr>
    </w:p>
    <w:bookmarkEnd w:id="21"/>
    <w:bookmarkStart w:id="22" w:name="X516b4cc784f635de9d3132f9a738eec32692112"/>
    <w:p>
      <w:pPr>
        <w:pStyle w:val="Heading3"/>
        <w:keepNext/>
        <w:pageBreakBefore w:val="0"/>
        <w:widowControl w:val="1"/>
      </w:pPr>
      <w:r>
        <w:t xml:space="preserve">0.2 Extracción masiva Actais Waste — campo Operador — Piloto A</w:t>
      </w:r>
    </w:p>
    <w:p>
      <w:pPr>
        <w:pStyle w:val="FirstParagraph"/>
        <w:widowControl w:val="1"/>
      </w:pPr>
      <w:r>
        <w:rPr>
          <w:rFonts w:ascii="Arial" w:hAnsi="Arial" w:eastAsia="Arial"/>
          <w:b/>
          <w:bCs/>
          <w:color w:val="263238"/>
          <w:sz w:val="19"/>
        </w:rPr>
        <w:t xml:space="preserve">Estado:</w:t>
      </w:r>
      <w:r>
        <w:rPr>
          <w:rFonts w:ascii="Arial" w:hAnsi="Arial" w:eastAsia="Arial"/>
          <w:color w:val="263238"/>
          <w:sz w:val="19"/>
        </w:rPr>
        <w:t xml:space="preserve"> </w:t>
      </w:r>
      <w:r>
        <w:rPr>
          <w:rFonts w:ascii="Arial" w:hAnsi="Arial" w:eastAsia="Arial"/>
          <w:color w:val="263238"/>
          <w:sz w:val="19"/>
        </w:rPr>
        <w:t xml:space="preserve">Pendiente del proveedor del aplicativo</w:t>
      </w:r>
    </w:p>
    <w:p>
      <w:pPr>
        <w:pStyle w:val="BodyText"/>
        <w:widowControl w:val="1"/>
      </w:pPr>
      <w:r>
        <w:rPr>
          <w:rFonts w:ascii="Arial" w:hAnsi="Arial" w:eastAsia="Arial"/>
          <w:color w:val="263238"/>
          <w:sz w:val="19"/>
        </w:rPr>
        <w:t xml:space="preserve">El fichero de muestra tiene</w:t>
      </w:r>
      <w:r>
        <w:rPr>
          <w:rFonts w:ascii="Arial" w:hAnsi="Arial" w:eastAsia="Arial"/>
          <w:color w:val="263238"/>
          <w:sz w:val="19"/>
        </w:rPr>
        <w:t xml:space="preserve"> </w:t>
      </w:r>
      <w:r>
        <w:rPr>
          <w:rStyle w:val="VerbatimChar"/>
          <w:rFonts w:ascii="Arial" w:hAnsi="Arial" w:eastAsia="Arial"/>
          <w:color w:val="263238"/>
          <w:sz w:val="19"/>
        </w:rPr>
        <w:t xml:space="preserve">Operador</w:t>
      </w:r>
      <w:r>
        <w:rPr>
          <w:rFonts w:ascii="Arial" w:hAnsi="Arial" w:eastAsia="Arial"/>
          <w:color w:val="263238"/>
          <w:sz w:val="19"/>
        </w:rPr>
        <w:t xml:space="preserve"> </w:t>
      </w:r>
      <w:r>
        <w:rPr>
          <w:rFonts w:ascii="Arial" w:hAnsi="Arial" w:eastAsia="Arial"/>
          <w:color w:val="263238"/>
          <w:sz w:val="19"/>
        </w:rPr>
        <w:t xml:space="preserve">al 100% nulo. Si la extracción completa lo tiene relleno, dispondremos del registro de cada entrada gestionada por cada operario de punto limpio: quién estaba en turno, cuántas entradas procesó, qué volumen y diversidad de residuos gestionó. Permitiría extender el Piloto A al colectivo de operarios de garbigune, no solo conductores.</w:t>
      </w:r>
    </w:p>
    <w:p>
      <w:pPr>
        <w:pStyle w:val="BodyText"/>
        <w:widowControl w:val="1"/>
      </w:pPr>
      <w:r>
        <w:rPr>
          <w:rFonts w:ascii="Arial" w:hAnsi="Arial" w:eastAsia="Arial"/>
          <w:b/>
          <w:bCs/>
          <w:color w:val="263238"/>
          <w:sz w:val="19"/>
        </w:rPr>
        <w:t xml:space="preserve">Acción previa:</w:t>
      </w:r>
      <w:r>
        <w:rPr>
          <w:rFonts w:ascii="Arial" w:hAnsi="Arial" w:eastAsia="Arial"/>
          <w:color w:val="263238"/>
          <w:sz w:val="19"/>
        </w:rPr>
        <w:t xml:space="preserve"> </w:t>
      </w:r>
      <w:r>
        <w:rPr>
          <w:rFonts w:ascii="Arial" w:hAnsi="Arial" w:eastAsia="Arial"/>
          <w:color w:val="263238"/>
          <w:sz w:val="19"/>
        </w:rPr>
        <w:t xml:space="preserve">Confirmar con el cliente si el campo está poblado en el sistema antes de esperar la extracción.</w:t>
      </w:r>
    </w:p>
    <w:p>
      <w:pPr>
        <w:pBdr>
          <w:bottom w:val="single" w:sz="6" w:space="3" w:color="8EA3A7"/>
        </w:pBdr>
        <w:spacing w:before="40" w:after="0" w:line="192" w:lineRule="auto"/>
        <w:widowControl w:val="1"/>
      </w:pPr>
    </w:p>
    <w:bookmarkEnd w:id="22"/>
    <w:bookmarkStart w:id="23" w:name="X0900a78936c2f23192eacd1dfde2cdd28341479"/>
    <w:p>
      <w:pPr>
        <w:pStyle w:val="Heading3"/>
        <w:keepNext/>
        <w:pageBreakBefore w:val="0"/>
        <w:widowControl w:val="1"/>
      </w:pPr>
      <w:r>
        <w:t xml:space="preserve">0.3 Cuadrantes y planificación de turnos — Piloto A</w:t>
      </w:r>
    </w:p>
    <w:p>
      <w:pPr>
        <w:pStyle w:val="FirstParagraph"/>
        <w:widowControl w:val="1"/>
      </w:pPr>
      <w:r>
        <w:rPr>
          <w:rFonts w:ascii="Arial" w:hAnsi="Arial" w:eastAsia="Arial"/>
          <w:b/>
          <w:bCs/>
          <w:color w:val="263238"/>
          <w:sz w:val="19"/>
        </w:rPr>
        <w:t xml:space="preserve">Estado:</w:t>
      </w:r>
      <w:r>
        <w:rPr>
          <w:rFonts w:ascii="Arial" w:hAnsi="Arial" w:eastAsia="Arial"/>
          <w:color w:val="263238"/>
          <w:sz w:val="19"/>
        </w:rPr>
        <w:t xml:space="preserve"> </w:t>
      </w:r>
      <w:r>
        <w:rPr>
          <w:rFonts w:ascii="Arial" w:hAnsi="Arial" w:eastAsia="Arial"/>
          <w:color w:val="263238"/>
          <w:sz w:val="19"/>
        </w:rPr>
        <w:t xml:space="preserve">No entregado, no mencionado en el email</w:t>
      </w:r>
    </w:p>
    <w:p>
      <w:pPr>
        <w:pStyle w:val="BodyText"/>
        <w:widowControl w:val="1"/>
      </w:pPr>
      <w:r>
        <w:rPr>
          <w:rFonts w:ascii="Arial" w:hAnsi="Arial" w:eastAsia="Arial"/>
          <w:color w:val="263238"/>
          <w:sz w:val="19"/>
        </w:rPr>
        <w:t xml:space="preserve">Sin el cuadrante de turnos no es posible distinguir si un conductor produce menos porque tiene menos horas asignadas o porque rinde peor dentro de las que tiene. La diferencia entre rendimiento bruto y rendimiento por hora trabajada es el eje central del Piloto A.</w:t>
      </w:r>
    </w:p>
    <w:p>
      <w:pPr>
        <w:pStyle w:val="BodyText"/>
        <w:widowControl w:val="1"/>
      </w:pPr>
      <w:r>
        <w:rPr>
          <w:rFonts w:ascii="Arial" w:hAnsi="Arial" w:eastAsia="Arial"/>
          <w:b/>
          <w:bCs/>
          <w:color w:val="263238"/>
          <w:sz w:val="19"/>
        </w:rPr>
        <w:t xml:space="preserve">Campos mínimos:</w:t>
      </w:r>
      <w:r>
        <w:rPr>
          <w:rFonts w:ascii="Arial" w:hAnsi="Arial" w:eastAsia="Arial"/>
          <w:color w:val="263238"/>
          <w:sz w:val="19"/>
        </w:rPr>
        <w:t xml:space="preserve"> </w:t>
      </w:r>
      <w:r>
        <w:rPr>
          <w:rFonts w:ascii="Arial" w:hAnsi="Arial" w:eastAsia="Arial"/>
          <w:color w:val="263238"/>
          <w:sz w:val="19"/>
        </w:rPr>
        <w:t xml:space="preserve">Conductor, Fecha, Turno, Horas planificadas, Centro asignado.</w:t>
      </w:r>
      <w:r>
        <w:rPr>
          <w:rFonts w:ascii="Arial" w:hAnsi="Arial" w:eastAsia="Arial"/>
          <w:color w:val="263238"/>
          <w:sz w:val="19"/>
        </w:rPr>
        <w:br/>
      </w:r>
      <w:r>
        <w:rPr>
          <w:rFonts w:ascii="Arial" w:hAnsi="Arial" w:eastAsia="Arial"/>
          <w:b/>
          <w:bCs/>
          <w:color w:val="263238"/>
          <w:sz w:val="19"/>
        </w:rPr>
        <w:t xml:space="preserve">Dónde suele estar:</w:t>
      </w:r>
      <w:r>
        <w:rPr>
          <w:rFonts w:ascii="Arial" w:hAnsi="Arial" w:eastAsia="Arial"/>
          <w:color w:val="263238"/>
          <w:sz w:val="19"/>
        </w:rPr>
        <w:t xml:space="preserve"> </w:t>
      </w:r>
      <w:r>
        <w:rPr>
          <w:rFonts w:ascii="Arial" w:hAnsi="Arial" w:eastAsia="Arial"/>
          <w:color w:val="263238"/>
          <w:sz w:val="19"/>
        </w:rPr>
        <w:t xml:space="preserve">Sistema de gestión de personal o Excel del responsable de servicio.</w:t>
      </w:r>
    </w:p>
    <w:p>
      <w:pPr>
        <w:pBdr>
          <w:bottom w:val="single" w:sz="6" w:space="3" w:color="8EA3A7"/>
        </w:pBdr>
        <w:spacing w:before="40" w:after="0" w:line="192" w:lineRule="auto"/>
        <w:widowControl w:val="1"/>
      </w:pPr>
    </w:p>
    <w:bookmarkEnd w:id="23"/>
    <w:bookmarkStart w:id="24" w:name="X110249712fc141c9deb11164edd25912a4573a9"/>
    <w:p>
      <w:pPr>
        <w:pStyle w:val="Heading3"/>
        <w:keepNext/>
        <w:pageBreakBefore w:val="0"/>
        <w:widowControl w:val="1"/>
      </w:pPr>
      <w:r>
        <w:t xml:space="preserve">0.4 Registro de formación por trabajador — Piloto A</w:t>
      </w:r>
    </w:p>
    <w:p>
      <w:pPr>
        <w:pStyle w:val="FirstParagraph"/>
        <w:widowControl w:val="1"/>
      </w:pPr>
      <w:r>
        <w:rPr>
          <w:rFonts w:ascii="Arial" w:hAnsi="Arial" w:eastAsia="Arial"/>
          <w:b/>
          <w:bCs/>
          <w:color w:val="263238"/>
          <w:sz w:val="19"/>
        </w:rPr>
        <w:t xml:space="preserve">Estado:</w:t>
      </w:r>
      <w:r>
        <w:rPr>
          <w:rFonts w:ascii="Arial" w:hAnsi="Arial" w:eastAsia="Arial"/>
          <w:color w:val="263238"/>
          <w:sz w:val="19"/>
        </w:rPr>
        <w:t xml:space="preserve"> </w:t>
      </w:r>
      <w:r>
        <w:rPr>
          <w:rFonts w:ascii="Arial" w:hAnsi="Arial" w:eastAsia="Arial"/>
          <w:color w:val="263238"/>
          <w:sz w:val="19"/>
        </w:rPr>
        <w:t xml:space="preserve">No entregado</w:t>
      </w:r>
    </w:p>
    <w:p>
      <w:pPr>
        <w:pStyle w:val="BodyText"/>
        <w:widowControl w:val="1"/>
      </w:pPr>
      <w:r>
        <w:rPr>
          <w:rFonts w:ascii="Arial" w:hAnsi="Arial" w:eastAsia="Arial"/>
          <w:color w:val="263238"/>
          <w:sz w:val="19"/>
        </w:rPr>
        <w:t xml:space="preserve">El documento de horas extra agrega la formación a nivel de equipo y año, sin detalle por persona ni tipo. Saber qué formación ha recibido cada conductor (GNC, conducción eficiente, ADR) puede explicar diferencias de rendimiento o de incidencias entre personas.</w:t>
      </w:r>
    </w:p>
    <w:p>
      <w:pPr>
        <w:pStyle w:val="BodyText"/>
        <w:widowControl w:val="1"/>
      </w:pPr>
      <w:r>
        <w:rPr>
          <w:rFonts w:ascii="Arial" w:hAnsi="Arial" w:eastAsia="Arial"/>
          <w:b/>
          <w:bCs/>
          <w:color w:val="263238"/>
          <w:sz w:val="19"/>
        </w:rPr>
        <w:t xml:space="preserve">Dónde suele estar:</w:t>
      </w:r>
      <w:r>
        <w:rPr>
          <w:rFonts w:ascii="Arial" w:hAnsi="Arial" w:eastAsia="Arial"/>
          <w:color w:val="263238"/>
          <w:sz w:val="19"/>
        </w:rPr>
        <w:t xml:space="preserve"> </w:t>
      </w:r>
      <w:r>
        <w:rPr>
          <w:rFonts w:ascii="Arial" w:hAnsi="Arial" w:eastAsia="Arial"/>
          <w:color w:val="263238"/>
          <w:sz w:val="19"/>
        </w:rPr>
        <w:t xml:space="preserve">Sistema de RRHH o registros de prevención de riesgos laborales.</w:t>
      </w:r>
    </w:p>
    <w:p>
      <w:pPr>
        <w:pBdr>
          <w:bottom w:val="single" w:sz="6" w:space="3" w:color="8EA3A7"/>
        </w:pBdr>
        <w:spacing w:before="40" w:after="0" w:line="192" w:lineRule="auto"/>
        <w:widowControl w:val="1"/>
      </w:pPr>
    </w:p>
    <w:bookmarkEnd w:id="24"/>
    <w:bookmarkStart w:id="25" w:name="X980e0509f4efcedc0abc6886db30f5e50944eaf"/>
    <w:p>
      <w:pPr>
        <w:pStyle w:val="Heading3"/>
        <w:keepNext/>
        <w:pageBreakBefore w:val="0"/>
        <w:widowControl w:val="1"/>
      </w:pPr>
      <w:r>
        <w:t xml:space="preserve">0.5 Histórico de incidencias de vehículos 2023–2026 — Piloto A y Piloto B</w:t>
      </w:r>
    </w:p>
    <w:p>
      <w:pPr>
        <w:pStyle w:val="FirstParagraph"/>
        <w:widowControl w:val="1"/>
      </w:pPr>
      <w:r>
        <w:rPr>
          <w:rFonts w:ascii="Arial" w:hAnsi="Arial" w:eastAsia="Arial"/>
          <w:b/>
          <w:bCs/>
          <w:color w:val="263238"/>
          <w:sz w:val="19"/>
        </w:rPr>
        <w:t xml:space="preserve">Estado:</w:t>
      </w:r>
      <w:r>
        <w:rPr>
          <w:rFonts w:ascii="Arial" w:hAnsi="Arial" w:eastAsia="Arial"/>
          <w:color w:val="263238"/>
          <w:sz w:val="19"/>
        </w:rPr>
        <w:t xml:space="preserve"> </w:t>
      </w:r>
      <w:r>
        <w:rPr>
          <w:rFonts w:ascii="Arial" w:hAnsi="Arial" w:eastAsia="Arial"/>
          <w:color w:val="263238"/>
          <w:sz w:val="19"/>
        </w:rPr>
        <w:t xml:space="preserve">Prometido por el cliente, pendiente de recibir</w:t>
      </w:r>
    </w:p>
    <w:p>
      <w:pPr>
        <w:pStyle w:val="BodyText"/>
        <w:widowControl w:val="1"/>
      </w:pPr>
      <w:r>
        <w:rPr>
          <w:rFonts w:ascii="Arial" w:hAnsi="Arial" w:eastAsia="Arial"/>
          <w:color w:val="263238"/>
          <w:sz w:val="19"/>
        </w:rPr>
        <w:t xml:space="preserve">El fichero de 2022 incluye el campo</w:t>
      </w:r>
      <w:r>
        <w:rPr>
          <w:rFonts w:ascii="Arial" w:hAnsi="Arial" w:eastAsia="Arial"/>
          <w:color w:val="263238"/>
          <w:sz w:val="19"/>
        </w:rPr>
        <w:t xml:space="preserve"> </w:t>
      </w:r>
      <w:r>
        <w:rPr>
          <w:rStyle w:val="VerbatimChar"/>
          <w:rFonts w:ascii="Arial" w:hAnsi="Arial" w:eastAsia="Arial"/>
          <w:color w:val="263238"/>
          <w:sz w:val="19"/>
        </w:rPr>
        <w:t xml:space="preserve">Centro</w:t>
      </w:r>
      <w:r>
        <w:rPr>
          <w:rFonts w:ascii="Arial" w:hAnsi="Arial" w:eastAsia="Arial"/>
          <w:color w:val="263238"/>
          <w:sz w:val="19"/>
        </w:rPr>
        <w:t xml:space="preserve"> </w:t>
      </w:r>
      <w:r>
        <w:rPr>
          <w:rFonts w:ascii="Arial" w:hAnsi="Arial" w:eastAsia="Arial"/>
          <w:color w:val="263238"/>
          <w:sz w:val="19"/>
        </w:rPr>
        <w:t xml:space="preserve">que asocia cada incidencia a la ruta/conductor asignado en ese momento. Con el histórico completo se podrá calcular la tasa de incidencias por conductor y por vehículo, y cruzarla con productividad y coste de mantenimiento.</w:t>
      </w:r>
    </w:p>
    <w:p>
      <w:pPr>
        <w:pStyle w:val="BodyText"/>
        <w:widowControl w:val="1"/>
      </w:pPr>
      <w:r>
        <w:rPr>
          <w:rFonts w:ascii="Arial" w:hAnsi="Arial" w:eastAsia="Arial"/>
          <w:b/>
          <w:bCs/>
          <w:color w:val="263238"/>
          <w:sz w:val="19"/>
        </w:rPr>
        <w:t xml:space="preserve">Acción:</w:t>
      </w:r>
      <w:r>
        <w:rPr>
          <w:rFonts w:ascii="Arial" w:hAnsi="Arial" w:eastAsia="Arial"/>
          <w:color w:val="263238"/>
          <w:sz w:val="19"/>
        </w:rPr>
        <w:t xml:space="preserve"> </w:t>
      </w:r>
      <w:r>
        <w:rPr>
          <w:rFonts w:ascii="Arial" w:hAnsi="Arial" w:eastAsia="Arial"/>
          <w:color w:val="263238"/>
          <w:sz w:val="19"/>
        </w:rPr>
        <w:t xml:space="preserve">Seguimiento activo. Si llega por años separados, consolidar en una única tabla.</w:t>
      </w:r>
    </w:p>
    <w:p>
      <w:pPr>
        <w:pBdr>
          <w:bottom w:val="single" w:sz="6" w:space="3" w:color="8EA3A7"/>
        </w:pBdr>
        <w:spacing w:before="40" w:after="0" w:line="192" w:lineRule="auto"/>
        <w:widowControl w:val="1"/>
      </w:pPr>
    </w:p>
    <w:bookmarkEnd w:id="25"/>
    <w:bookmarkStart w:id="26" w:name="X603e96230720f61185f68d60582cf735b54f450"/>
    <w:p>
      <w:pPr>
        <w:pStyle w:val="Heading3"/>
        <w:keepNext/>
        <w:pageBreakBefore w:val="0"/>
        <w:widowControl w:val="1"/>
      </w:pPr>
      <w:r>
        <w:t xml:space="preserve">0.6 Tabla de asignación conductor–ruta–vehículo — Piloto A y Piloto B</w:t>
      </w:r>
    </w:p>
    <w:p>
      <w:pPr>
        <w:pStyle w:val="FirstParagraph"/>
        <w:widowControl w:val="1"/>
      </w:pPr>
      <w:r>
        <w:rPr>
          <w:rFonts w:ascii="Arial" w:hAnsi="Arial" w:eastAsia="Arial"/>
          <w:b/>
          <w:bCs/>
          <w:color w:val="263238"/>
          <w:sz w:val="19"/>
        </w:rPr>
        <w:t xml:space="preserve">Estado:</w:t>
      </w:r>
      <w:r>
        <w:rPr>
          <w:rFonts w:ascii="Arial" w:hAnsi="Arial" w:eastAsia="Arial"/>
          <w:color w:val="263238"/>
          <w:sz w:val="19"/>
        </w:rPr>
        <w:t xml:space="preserve"> </w:t>
      </w:r>
      <w:r>
        <w:rPr>
          <w:rFonts w:ascii="Arial" w:hAnsi="Arial" w:eastAsia="Arial"/>
          <w:color w:val="263238"/>
          <w:sz w:val="19"/>
        </w:rPr>
        <w:t xml:space="preserve">No entregado, no mencionado en el email</w:t>
      </w:r>
    </w:p>
    <w:p>
      <w:pPr>
        <w:pStyle w:val="BodyText"/>
        <w:widowControl w:val="1"/>
      </w:pPr>
      <w:r>
        <w:rPr>
          <w:rFonts w:ascii="Arial" w:hAnsi="Arial" w:eastAsia="Arial"/>
          <w:color w:val="263238"/>
          <w:sz w:val="19"/>
        </w:rPr>
        <w:t xml:space="preserve">Los datos de Pesadas registran quién condujo qué matrícula en cada transporte, pero no la asignación habitual. Sin este dato es difícil separar el efecto del conductor del efecto de la ruta o del vehículo asignado (rutas más largas, camiones más antiguos).</w:t>
      </w:r>
    </w:p>
    <w:p>
      <w:pPr>
        <w:pStyle w:val="BodyText"/>
        <w:widowControl w:val="1"/>
      </w:pPr>
      <w:r>
        <w:rPr>
          <w:rFonts w:ascii="Arial" w:hAnsi="Arial" w:eastAsia="Arial"/>
          <w:b/>
          <w:bCs/>
          <w:color w:val="263238"/>
          <w:sz w:val="19"/>
        </w:rPr>
        <w:t xml:space="preserve">Alternativa parcial:</w:t>
      </w:r>
      <w:r>
        <w:rPr>
          <w:rFonts w:ascii="Arial" w:hAnsi="Arial" w:eastAsia="Arial"/>
          <w:color w:val="263238"/>
          <w:sz w:val="19"/>
        </w:rPr>
        <w:t xml:space="preserve"> </w:t>
      </w:r>
      <w:r>
        <w:rPr>
          <w:rFonts w:ascii="Arial" w:hAnsi="Arial" w:eastAsia="Arial"/>
          <w:color w:val="263238"/>
          <w:sz w:val="19"/>
        </w:rPr>
        <w:t xml:space="preserve">puede derivarse estadísticamente de Pesadas identificando la matrícula más frecuente de cada conductor, pero la tabla explícita es más fiable.</w:t>
      </w:r>
    </w:p>
    <w:p>
      <w:pPr>
        <w:pBdr>
          <w:bottom w:val="single" w:sz="6" w:space="3" w:color="8EA3A7"/>
        </w:pBdr>
        <w:spacing w:before="40" w:after="0" w:line="192" w:lineRule="auto"/>
        <w:widowControl w:val="1"/>
      </w:pPr>
    </w:p>
    <w:bookmarkEnd w:id="26"/>
    <w:bookmarkStart w:id="27" w:name="resumen"/>
    <w:p>
      <w:pPr>
        <w:pStyle w:val="Heading3"/>
        <w:keepNext/>
        <w:pageBreakBefore w:val="0"/>
        <w:widowControl w:val="1"/>
      </w:pPr>
      <w:r>
        <w:t xml:space="preserve">Resumen</w:t>
      </w:r>
    </w:p>
    <w:tbl>
      <w:tblPr>
        <w:tblStyle w:val="Table"/>
        <w:tblW w:type="auto" w:w="0"/>
        <w:jc w:val="center"/>
        <w:tblLayout w:type="fixed"/>
        <w:tblLook w:firstRow="1" w:lastRow="0" w:firstColumn="0" w:lastColumn="0" w:noHBand="0" w:noVBand="0" w:val="0020"/>
        <w:tblBorders>
          <w:top w:val="single" w:sz="4" w:space="0" w:color="A9BCC0"/>
          <w:left w:val="single" w:sz="4" w:space="0" w:color="A9BCC0"/>
          <w:bottom w:val="single" w:sz="4" w:space="0" w:color="A9BCC0"/>
          <w:right w:val="single" w:sz="4" w:space="0" w:color="A9BCC0"/>
          <w:insideH w:val="single" w:sz="4" w:space="0" w:color="A9BCC0"/>
          <w:insideV w:val="single" w:sz="4" w:space="0" w:color="A9BCC0"/>
        </w:tblBorders>
      </w:tblPr>
      <w:tblGrid>
        <w:gridCol w:w="1980"/>
        <w:gridCol w:w="1980"/>
        <w:gridCol w:w="1980"/>
        <w:gridCol w:w="1980"/>
      </w:tblGrid>
      <w:tr>
        <w:trPr>
          <w:tblHeader w:val="true"/>
        </w:trPr>
        <w:tc>
          <w:tcPr>
            <w:tcW w:type="dxa" w:w="4950"/>
            <w:vAlign w:val="center"/>
            <w:tcMar>
              <w:top w:w="80" w:type="dxa"/>
              <w:start w:w="90" w:type="dxa"/>
              <w:bottom w:w="80" w:type="dxa"/>
              <w:end w:w="90" w:type="dxa"/>
            </w:tcMar>
            <w:shd w:fill="185C61"/>
          </w:tcPr>
          <w:p>
            <w:pPr>
              <w:pStyle w:val="Compact"/>
              <w:keepLines w:val="0"/>
              <w:spacing w:after="0" w:before="0" w:line="240" w:lineRule="auto"/>
              <w:jc w:val="left"/>
            </w:pPr>
            <w:r>
              <w:rPr>
                <w:rFonts w:ascii="Arial" w:hAnsi="Arial" w:eastAsia="Arial"/>
                <w:b/>
                <w:color w:val="FFFFFF"/>
                <w:sz w:val="17"/>
              </w:rPr>
              <w:t xml:space="preserve">Fichero</w:t>
            </w:r>
          </w:p>
        </w:tc>
        <w:tc>
          <w:tcPr>
            <w:tcW w:type="dxa" w:w="1118"/>
            <w:vAlign w:val="center"/>
            <w:tcMar>
              <w:top w:w="80" w:type="dxa"/>
              <w:start w:w="90" w:type="dxa"/>
              <w:bottom w:w="80" w:type="dxa"/>
              <w:end w:w="90" w:type="dxa"/>
            </w:tcMar>
            <w:shd w:fill="185C61"/>
          </w:tcPr>
          <w:p>
            <w:pPr>
              <w:pStyle w:val="Compact"/>
              <w:keepLines w:val="0"/>
              <w:spacing w:after="0" w:before="0" w:line="240" w:lineRule="auto"/>
              <w:jc w:val="left"/>
            </w:pPr>
            <w:r>
              <w:rPr>
                <w:rFonts w:ascii="Arial" w:hAnsi="Arial" w:eastAsia="Arial"/>
                <w:b/>
                <w:color w:val="FFFFFF"/>
                <w:sz w:val="17"/>
              </w:rPr>
              <w:t xml:space="preserve">Piloto</w:t>
            </w:r>
          </w:p>
        </w:tc>
        <w:tc>
          <w:tcPr>
            <w:tcW w:type="dxa" w:w="2783"/>
            <w:vAlign w:val="center"/>
            <w:tcMar>
              <w:top w:w="80" w:type="dxa"/>
              <w:start w:w="90" w:type="dxa"/>
              <w:bottom w:w="80" w:type="dxa"/>
              <w:end w:w="90" w:type="dxa"/>
            </w:tcMar>
            <w:shd w:fill="185C61"/>
          </w:tcPr>
          <w:p>
            <w:pPr>
              <w:pStyle w:val="Compact"/>
              <w:keepLines w:val="0"/>
              <w:spacing w:after="0" w:before="0" w:line="240" w:lineRule="auto"/>
              <w:jc w:val="left"/>
            </w:pPr>
            <w:r>
              <w:rPr>
                <w:rFonts w:ascii="Arial" w:hAnsi="Arial" w:eastAsia="Arial"/>
                <w:b/>
                <w:color w:val="FFFFFF"/>
                <w:sz w:val="17"/>
              </w:rPr>
              <w:t xml:space="preserve">Estado</w:t>
            </w:r>
          </w:p>
        </w:tc>
        <w:tc>
          <w:tcPr>
            <w:tcW w:type="dxa" w:w="1186"/>
            <w:vAlign w:val="center"/>
            <w:tcMar>
              <w:top w:w="80" w:type="dxa"/>
              <w:start w:w="90" w:type="dxa"/>
              <w:bottom w:w="80" w:type="dxa"/>
              <w:end w:w="90" w:type="dxa"/>
            </w:tcMar>
            <w:shd w:fill="185C61"/>
          </w:tcPr>
          <w:p>
            <w:pPr>
              <w:pStyle w:val="Compact"/>
              <w:keepLines w:val="0"/>
              <w:spacing w:after="0" w:before="0" w:line="240" w:lineRule="auto"/>
              <w:jc w:val="left"/>
            </w:pPr>
            <w:r>
              <w:rPr>
                <w:rFonts w:ascii="Arial" w:hAnsi="Arial" w:eastAsia="Arial"/>
                <w:b/>
                <w:color w:val="FFFFFF"/>
                <w:sz w:val="17"/>
              </w:rPr>
              <w:t xml:space="preserve">Urgencia</w:t>
            </w:r>
          </w:p>
        </w:tc>
      </w:tr>
      <w:tr>
        <w:tc>
          <w:tcPr>
            <w:tcW w:type="dxa" w:w="4950"/>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AST_Coberturas-TODOS</w:t>
            </w:r>
          </w:p>
        </w:tc>
        <w:tc>
          <w:tcPr>
            <w:tcW w:type="dxa" w:w="1118"/>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A</w:t>
            </w:r>
          </w:p>
        </w:tc>
        <w:tc>
          <w:tcPr>
            <w:tcW w:type="dxa" w:w="278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No entregado (mencionado en email)</w:t>
            </w:r>
          </w:p>
        </w:tc>
        <w:tc>
          <w:tcPr>
            <w:tcW w:type="dxa" w:w="1186"/>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 Crítica</w:t>
            </w:r>
          </w:p>
        </w:tc>
      </w:tr>
      <w:tr>
        <w:tc>
          <w:tcPr>
            <w:tcW w:type="dxa" w:w="4950"/>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Extracción masiva Actais Waste (campo Operador)</w:t>
            </w:r>
          </w:p>
        </w:tc>
        <w:tc>
          <w:tcPr>
            <w:tcW w:type="dxa" w:w="1118"/>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A</w:t>
            </w:r>
          </w:p>
        </w:tc>
        <w:tc>
          <w:tcPr>
            <w:tcW w:type="dxa" w:w="278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Pendiente del proveedor</w:t>
            </w:r>
          </w:p>
        </w:tc>
        <w:tc>
          <w:tcPr>
            <w:tcW w:type="dxa" w:w="1186"/>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 Crítica</w:t>
            </w:r>
          </w:p>
        </w:tc>
      </w:tr>
      <w:tr>
        <w:tc>
          <w:tcPr>
            <w:tcW w:type="dxa" w:w="4950"/>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Cuadrantes / planificación de turnos</w:t>
            </w:r>
          </w:p>
        </w:tc>
        <w:tc>
          <w:tcPr>
            <w:tcW w:type="dxa" w:w="1118"/>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A</w:t>
            </w:r>
          </w:p>
        </w:tc>
        <w:tc>
          <w:tcPr>
            <w:tcW w:type="dxa" w:w="278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No mencionado</w:t>
            </w:r>
          </w:p>
        </w:tc>
        <w:tc>
          <w:tcPr>
            <w:tcW w:type="dxa" w:w="1186"/>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 Alta</w:t>
            </w:r>
          </w:p>
        </w:tc>
      </w:tr>
      <w:tr>
        <w:tc>
          <w:tcPr>
            <w:tcW w:type="dxa" w:w="4950"/>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Histórico incidencias 2023–2026</w:t>
            </w:r>
          </w:p>
        </w:tc>
        <w:tc>
          <w:tcPr>
            <w:tcW w:type="dxa" w:w="1118"/>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A y B</w:t>
            </w:r>
          </w:p>
        </w:tc>
        <w:tc>
          <w:tcPr>
            <w:tcW w:type="dxa" w:w="278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Prometido, pendiente</w:t>
            </w:r>
          </w:p>
        </w:tc>
        <w:tc>
          <w:tcPr>
            <w:tcW w:type="dxa" w:w="1186"/>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 Alta</w:t>
            </w:r>
          </w:p>
        </w:tc>
      </w:tr>
      <w:tr>
        <w:tc>
          <w:tcPr>
            <w:tcW w:type="dxa" w:w="4950"/>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Registro de formación por trabajador</w:t>
            </w:r>
          </w:p>
        </w:tc>
        <w:tc>
          <w:tcPr>
            <w:tcW w:type="dxa" w:w="1118"/>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A</w:t>
            </w:r>
          </w:p>
        </w:tc>
        <w:tc>
          <w:tcPr>
            <w:tcW w:type="dxa" w:w="278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No mencionado</w:t>
            </w:r>
          </w:p>
        </w:tc>
        <w:tc>
          <w:tcPr>
            <w:tcW w:type="dxa" w:w="1186"/>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7"/>
              </w:rPr>
              <w:t xml:space="preserve">🟡 Media</w:t>
            </w:r>
          </w:p>
        </w:tc>
      </w:tr>
      <w:tr>
        <w:tc>
          <w:tcPr>
            <w:tcW w:type="dxa" w:w="4950"/>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Tabla asignación conductor–ruta–vehículo</w:t>
            </w:r>
          </w:p>
        </w:tc>
        <w:tc>
          <w:tcPr>
            <w:tcW w:type="dxa" w:w="1118"/>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A y B</w:t>
            </w:r>
          </w:p>
        </w:tc>
        <w:tc>
          <w:tcPr>
            <w:tcW w:type="dxa" w:w="278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No mencionado</w:t>
            </w:r>
          </w:p>
        </w:tc>
        <w:tc>
          <w:tcPr>
            <w:tcW w:type="dxa" w:w="1186"/>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7"/>
              </w:rPr>
              <w:t xml:space="preserve">🟡 Media</w:t>
            </w:r>
          </w:p>
        </w:tc>
      </w:tr>
    </w:tbl>
    <w:p>
      <w:pPr>
        <w:pBdr>
          <w:bottom w:val="single" w:sz="6" w:space="3" w:color="8EA3A7"/>
        </w:pBdr>
        <w:spacing w:before="40" w:after="0" w:line="192" w:lineRule="auto"/>
        <w:widowControl w:val="1"/>
      </w:pPr>
    </w:p>
    <w:bookmarkEnd w:id="27"/>
    <w:bookmarkEnd w:id="28"/>
    <w:bookmarkStart w:id="35" w:name="X758f8756bfeacd6c9ae97ad5a94e4639470713d"/>
    <w:p>
      <w:pPr>
        <w:pStyle w:val="Heading2"/>
        <w:keepNext/>
        <w:pageBreakBefore w:val="0"/>
        <w:widowControl w:val="1"/>
      </w:pPr>
      <w:r>
        <w:t xml:space="preserve">1. Fuentes externas — Piloto A (Análisis de personal)</w:t>
      </w:r>
    </w:p>
    <w:bookmarkStart w:id="30" w:name="X72aaf5f560a9d64c9dfcd957edad26298f9e88f"/>
    <w:p>
      <w:pPr>
        <w:pStyle w:val="Heading3"/>
        <w:keepNext/>
        <w:pageBreakBefore w:val="0"/>
        <w:widowControl w:val="1"/>
      </w:pPr>
      <w:r>
        <w:t xml:space="preserve">1.1 BOPV — Convenio colectivo y calendario laboral</w:t>
      </w:r>
    </w:p>
    <w:p>
      <w:pPr>
        <w:pStyle w:val="FirstParagraph"/>
        <w:widowControl w:val="1"/>
      </w:pPr>
      <w:r>
        <w:rPr>
          <w:rFonts w:ascii="Arial" w:hAnsi="Arial" w:eastAsia="Arial"/>
          <w:b/>
          <w:bCs/>
          <w:color w:val="263238"/>
          <w:sz w:val="19"/>
        </w:rPr>
        <w:t xml:space="preserve">URL:</w:t>
      </w:r>
      <w:r>
        <w:rPr>
          <w:rFonts w:ascii="Arial" w:hAnsi="Arial" w:eastAsia="Arial"/>
          <w:color w:val="263238"/>
          <w:sz w:val="19"/>
        </w:rPr>
        <w:t xml:space="preserve"> </w:t>
      </w:r>
      <w:hyperlink r:id="rId29">
        <w:r>
          <w:rPr>
            <w:rStyle w:val="Hyperlink"/>
          </w:rPr>
          <w:t xml:space="preserve">https://www.legebiltzarra.eus/bopv</w:t>
        </w:r>
      </w:hyperlink>
      <w:r>
        <w:rPr>
          <w:rFonts w:ascii="Arial" w:hAnsi="Arial" w:eastAsia="Arial"/>
          <w:color w:val="263238"/>
          <w:sz w:val="19"/>
        </w:rPr>
        <w:br/>
      </w:r>
      <w:r>
        <w:rPr>
          <w:rFonts w:ascii="Arial" w:hAnsi="Arial" w:eastAsia="Arial"/>
          <w:b/>
          <w:bCs/>
          <w:color w:val="263238"/>
          <w:sz w:val="19"/>
        </w:rPr>
        <w:t xml:space="preserve">Tipo de acceso:</w:t>
      </w:r>
      <w:r>
        <w:rPr>
          <w:rFonts w:ascii="Arial" w:hAnsi="Arial" w:eastAsia="Arial"/>
          <w:color w:val="263238"/>
          <w:sz w:val="19"/>
        </w:rPr>
        <w:t xml:space="preserve"> </w:t>
      </w:r>
      <w:r>
        <w:rPr>
          <w:rFonts w:ascii="Arial" w:hAnsi="Arial" w:eastAsia="Arial"/>
          <w:color w:val="263238"/>
          <w:sz w:val="19"/>
        </w:rPr>
        <w:t xml:space="preserve">Descarga manual de PDF</w:t>
      </w:r>
    </w:p>
    <w:p>
      <w:pPr>
        <w:pStyle w:val="BodyText"/>
        <w:widowControl w:val="1"/>
      </w:pPr>
      <w:r>
        <w:rPr>
          <w:rFonts w:ascii="Arial" w:hAnsi="Arial" w:eastAsia="Arial"/>
          <w:b/>
          <w:bCs/>
          <w:color w:val="263238"/>
          <w:sz w:val="19"/>
        </w:rPr>
        <w:t xml:space="preserve">Por qué es necesario:</w:t>
      </w:r>
      <w:r>
        <w:rPr>
          <w:rFonts w:ascii="Arial" w:hAnsi="Arial" w:eastAsia="Arial"/>
          <w:color w:val="263238"/>
          <w:sz w:val="19"/>
        </w:rPr>
        <w:t xml:space="preserve"> </w:t>
      </w:r>
      <w:r>
        <w:rPr>
          <w:rFonts w:ascii="Arial" w:hAnsi="Arial" w:eastAsia="Arial"/>
          <w:color w:val="263238"/>
          <w:sz w:val="19"/>
        </w:rPr>
        <w:t xml:space="preserve">En este sector los salarios no los fija el mercado sino el convenio colectivo. Sin él, el análisis de personal se queda en volumen (transportes realizados, kg movidos) y no puede traducirse a eficiencia económica real (€/conductor). Es el paso que convierte el Piloto A en un análisis accionable.</w:t>
      </w:r>
    </w:p>
    <w:p>
      <w:pPr>
        <w:pStyle w:val="BodyText"/>
        <w:widowControl w:val="1"/>
      </w:pPr>
      <w:r>
        <w:rPr>
          <w:rFonts w:ascii="Arial" w:hAnsi="Arial" w:eastAsia="Arial"/>
          <w:b/>
          <w:bCs/>
          <w:color w:val="263238"/>
          <w:sz w:val="19"/>
        </w:rPr>
        <w:t xml:space="preserve">Qué se extrae:</w:t>
      </w:r>
    </w:p>
    <w:p>
      <w:pPr>
        <w:pStyle w:val="Compact"/>
        <w:numPr>
          <w:ilvl w:val="0"/>
          <w:numId w:val="1001"/>
        </w:numPr>
        <w:spacing w:after="50"/>
        <w:widowControl w:val="1"/>
      </w:pPr>
      <w:r>
        <w:rPr>
          <w:rFonts w:ascii="Arial" w:hAnsi="Arial" w:eastAsia="Arial"/>
          <w:color w:val="263238"/>
          <w:sz w:val="18"/>
        </w:rPr>
        <w:t xml:space="preserve">Tabla salarial por categoría profesional (conductor, oficial, peón): salario base + complementos.</w:t>
      </w:r>
    </w:p>
    <w:p>
      <w:pPr>
        <w:pStyle w:val="Compact"/>
        <w:numPr>
          <w:ilvl w:val="0"/>
          <w:numId w:val="1001"/>
        </w:numPr>
        <w:spacing w:after="50"/>
        <w:widowControl w:val="1"/>
      </w:pPr>
      <w:r>
        <w:rPr>
          <w:rFonts w:ascii="Arial" w:hAnsi="Arial" w:eastAsia="Arial"/>
          <w:color w:val="263238"/>
          <w:sz w:val="18"/>
        </w:rPr>
        <w:t xml:space="preserve">Coste de hora extra según tipo (diurna, nocturna, festiva): permite monetizar el fichero de horas extra del DOCX y los refuerzos.</w:t>
      </w:r>
    </w:p>
    <w:p>
      <w:pPr>
        <w:pStyle w:val="Compact"/>
        <w:numPr>
          <w:ilvl w:val="0"/>
          <w:numId w:val="1001"/>
        </w:numPr>
        <w:spacing w:after="50"/>
        <w:widowControl w:val="1"/>
      </w:pPr>
      <w:r>
        <w:rPr>
          <w:rFonts w:ascii="Arial" w:hAnsi="Arial" w:eastAsia="Arial"/>
          <w:color w:val="263238"/>
          <w:sz w:val="18"/>
        </w:rPr>
        <w:t xml:space="preserve">Calendario laboral oficial de Bizkaia por año: distingue festivos nacionales, autonómicos y locales para calcular el sobrecoste real del fichero RefuerzoFestivos.</w:t>
      </w:r>
    </w:p>
    <w:p>
      <w:pPr>
        <w:pStyle w:val="FirstParagraph"/>
        <w:widowControl w:val="1"/>
      </w:pPr>
      <w:r>
        <w:rPr>
          <w:rFonts w:ascii="Arial" w:hAnsi="Arial" w:eastAsia="Arial"/>
          <w:b/>
          <w:bCs/>
          <w:color w:val="263238"/>
          <w:sz w:val="19"/>
        </w:rPr>
        <w:t xml:space="preserve">Usos en el piloto:</w:t>
      </w:r>
    </w:p>
    <w:p>
      <w:pPr>
        <w:pStyle w:val="Compact"/>
        <w:numPr>
          <w:ilvl w:val="0"/>
          <w:numId w:val="1002"/>
        </w:numPr>
        <w:spacing w:after="50"/>
        <w:widowControl w:val="1"/>
      </w:pPr>
      <w:r>
        <w:rPr>
          <w:rFonts w:ascii="Arial" w:hAnsi="Arial" w:eastAsia="Arial"/>
          <w:color w:val="263238"/>
          <w:sz w:val="18"/>
        </w:rPr>
        <w:t xml:space="preserve">Construir el coste unitario por conductor (€/hora según categoría y turno).</w:t>
      </w:r>
    </w:p>
    <w:p>
      <w:pPr>
        <w:pStyle w:val="Compact"/>
        <w:numPr>
          <w:ilvl w:val="0"/>
          <w:numId w:val="1002"/>
        </w:numPr>
        <w:spacing w:after="50"/>
        <w:widowControl w:val="1"/>
      </w:pPr>
      <w:r>
        <w:rPr>
          <w:rFonts w:ascii="Arial" w:hAnsi="Arial" w:eastAsia="Arial"/>
          <w:color w:val="263238"/>
          <w:sz w:val="18"/>
        </w:rPr>
        <w:t xml:space="preserve">Calcular el coste económico de cada día de refuerzo o cobertura, no solo el número de días.</w:t>
      </w:r>
    </w:p>
    <w:p>
      <w:pPr>
        <w:pStyle w:val="Compact"/>
        <w:numPr>
          <w:ilvl w:val="0"/>
          <w:numId w:val="1002"/>
        </w:numPr>
        <w:spacing w:after="50"/>
        <w:widowControl w:val="1"/>
      </w:pPr>
      <w:r>
        <w:rPr>
          <w:rFonts w:ascii="Arial" w:hAnsi="Arial" w:eastAsia="Arial"/>
          <w:color w:val="263238"/>
          <w:sz w:val="18"/>
        </w:rPr>
        <w:t xml:space="preserve">Identificar qué conductores generan más coste en extras y si está justificado por su productividad.</w:t>
      </w:r>
    </w:p>
    <w:p>
      <w:pPr>
        <w:pStyle w:val="FirstParagraph"/>
        <w:widowControl w:val="1"/>
      </w:pPr>
      <w:r>
        <w:rPr>
          <w:rFonts w:ascii="Arial" w:hAnsi="Arial" w:eastAsia="Arial"/>
          <w:b/>
          <w:bCs/>
          <w:color w:val="263238"/>
          <w:sz w:val="19"/>
        </w:rPr>
        <w:t xml:space="preserve">Esfuerzo:</w:t>
      </w:r>
      <w:r>
        <w:rPr>
          <w:rFonts w:ascii="Arial" w:hAnsi="Arial" w:eastAsia="Arial"/>
          <w:color w:val="263238"/>
          <w:sz w:val="19"/>
        </w:rPr>
        <w:t xml:space="preserve"> </w:t>
      </w:r>
      <w:r>
        <w:rPr>
          <w:rFonts w:ascii="Arial" w:hAnsi="Arial" w:eastAsia="Arial"/>
          <w:color w:val="263238"/>
          <w:sz w:val="19"/>
        </w:rPr>
        <w:t xml:space="preserve">½ día. Descarga manual del PDF vigente + extracción de tabla salarial a CSV. Sin scraping.</w:t>
      </w:r>
    </w:p>
    <w:p>
      <w:pPr>
        <w:pBdr>
          <w:bottom w:val="single" w:sz="6" w:space="3" w:color="8EA3A7"/>
        </w:pBdr>
        <w:spacing w:before="40" w:after="0" w:line="192" w:lineRule="auto"/>
        <w:widowControl w:val="1"/>
      </w:pPr>
    </w:p>
    <w:bookmarkEnd w:id="30"/>
    <w:bookmarkStart w:id="32" w:name="Xf6c87664c14517d65fe36b757ddf6ffa99e36a7"/>
    <w:p>
      <w:pPr>
        <w:pStyle w:val="Heading3"/>
        <w:keepNext/>
        <w:pageBreakBefore w:val="0"/>
        <w:widowControl w:val="1"/>
      </w:pPr>
      <w:r>
        <w:t xml:space="preserve">1.2 AEMET — Meteorología histórica</w:t>
      </w:r>
    </w:p>
    <w:p>
      <w:pPr>
        <w:pStyle w:val="FirstParagraph"/>
        <w:widowControl w:val="1"/>
      </w:pPr>
      <w:r>
        <w:rPr>
          <w:rFonts w:ascii="Arial" w:hAnsi="Arial" w:eastAsia="Arial"/>
          <w:b/>
          <w:bCs/>
          <w:color w:val="263238"/>
          <w:sz w:val="19"/>
        </w:rPr>
        <w:t xml:space="preserve">URL:</w:t>
      </w:r>
      <w:r>
        <w:rPr>
          <w:rFonts w:ascii="Arial" w:hAnsi="Arial" w:eastAsia="Arial"/>
          <w:color w:val="263238"/>
          <w:sz w:val="19"/>
        </w:rPr>
        <w:t xml:space="preserve"> </w:t>
      </w:r>
      <w:hyperlink r:id="rId31">
        <w:r>
          <w:rPr>
            <w:rStyle w:val="Hyperlink"/>
          </w:rPr>
          <w:t xml:space="preserve">https://opendata.aemet.es</w:t>
        </w:r>
      </w:hyperlink>
      <w:r>
        <w:rPr>
          <w:rFonts w:ascii="Arial" w:hAnsi="Arial" w:eastAsia="Arial"/>
          <w:color w:val="263238"/>
          <w:sz w:val="19"/>
        </w:rPr>
        <w:br/>
      </w:r>
      <w:r>
        <w:rPr>
          <w:rFonts w:ascii="Arial" w:hAnsi="Arial" w:eastAsia="Arial"/>
          <w:b/>
          <w:bCs/>
          <w:color w:val="263238"/>
          <w:sz w:val="19"/>
        </w:rPr>
        <w:t xml:space="preserve">Tipo de acceso:</w:t>
      </w:r>
      <w:r>
        <w:rPr>
          <w:rFonts w:ascii="Arial" w:hAnsi="Arial" w:eastAsia="Arial"/>
          <w:color w:val="263238"/>
          <w:sz w:val="19"/>
        </w:rPr>
        <w:t xml:space="preserve"> </w:t>
      </w:r>
      <w:r>
        <w:rPr>
          <w:rFonts w:ascii="Arial" w:hAnsi="Arial" w:eastAsia="Arial"/>
          <w:color w:val="263238"/>
          <w:sz w:val="19"/>
        </w:rPr>
        <w:t xml:space="preserve">API REST gratuita con clave</w:t>
      </w:r>
    </w:p>
    <w:p>
      <w:pPr>
        <w:pStyle w:val="BodyText"/>
        <w:widowControl w:val="1"/>
      </w:pPr>
      <w:r>
        <w:rPr>
          <w:rFonts w:ascii="Arial" w:hAnsi="Arial" w:eastAsia="Arial"/>
          <w:b/>
          <w:bCs/>
          <w:color w:val="263238"/>
          <w:sz w:val="19"/>
        </w:rPr>
        <w:t xml:space="preserve">Por qué es necesario:</w:t>
      </w:r>
      <w:r>
        <w:rPr>
          <w:rFonts w:ascii="Arial" w:hAnsi="Arial" w:eastAsia="Arial"/>
          <w:color w:val="263238"/>
          <w:sz w:val="19"/>
        </w:rPr>
        <w:t xml:space="preserve"> </w:t>
      </w:r>
      <w:r>
        <w:rPr>
          <w:rFonts w:ascii="Arial" w:hAnsi="Arial" w:eastAsia="Arial"/>
          <w:color w:val="263238"/>
          <w:sz w:val="19"/>
        </w:rPr>
        <w:t xml:space="preserve">El rendimiento de un conductor en un día de lluvia intensa o nieve en zonas del interior de Bizkaia no es comparable directamente con uno en condiciones normales. Sin aislar el factor meteorológico, el análisis de rendimiento puede penalizar injustamente a conductores asignados a rutas o épocas más adversas.</w:t>
      </w:r>
    </w:p>
    <w:p>
      <w:pPr>
        <w:pStyle w:val="BodyText"/>
        <w:widowControl w:val="1"/>
      </w:pPr>
      <w:r>
        <w:rPr>
          <w:rFonts w:ascii="Arial" w:hAnsi="Arial" w:eastAsia="Arial"/>
          <w:b/>
          <w:bCs/>
          <w:color w:val="263238"/>
          <w:sz w:val="19"/>
        </w:rPr>
        <w:t xml:space="preserve">Qué se extrae:</w:t>
      </w:r>
    </w:p>
    <w:p>
      <w:pPr>
        <w:pStyle w:val="Compact"/>
        <w:numPr>
          <w:ilvl w:val="0"/>
          <w:numId w:val="1003"/>
        </w:numPr>
        <w:spacing w:after="50"/>
        <w:widowControl w:val="1"/>
      </w:pPr>
      <w:r>
        <w:rPr>
          <w:rFonts w:ascii="Arial" w:hAnsi="Arial" w:eastAsia="Arial"/>
          <w:color w:val="263238"/>
          <w:sz w:val="18"/>
        </w:rPr>
        <w:t xml:space="preserve">Precipitación y temperatura diaria en las estaciones de Bizkaia más cercanas a cada ruta.</w:t>
      </w:r>
    </w:p>
    <w:p>
      <w:pPr>
        <w:pStyle w:val="Compact"/>
        <w:numPr>
          <w:ilvl w:val="0"/>
          <w:numId w:val="1003"/>
        </w:numPr>
        <w:spacing w:after="50"/>
        <w:widowControl w:val="1"/>
      </w:pPr>
      <w:r>
        <w:rPr>
          <w:rFonts w:ascii="Arial" w:hAnsi="Arial" w:eastAsia="Arial"/>
          <w:color w:val="263238"/>
          <w:sz w:val="18"/>
        </w:rPr>
        <w:t xml:space="preserve">Días de alerta meteorológica (viento, nieve, lluvia intensa) para marcar jornadas de condiciones adversas.</w:t>
      </w:r>
    </w:p>
    <w:p>
      <w:pPr>
        <w:pStyle w:val="FirstParagraph"/>
        <w:widowControl w:val="1"/>
      </w:pPr>
      <w:r>
        <w:rPr>
          <w:rFonts w:ascii="Arial" w:hAnsi="Arial" w:eastAsia="Arial"/>
          <w:b/>
          <w:bCs/>
          <w:color w:val="263238"/>
          <w:sz w:val="19"/>
        </w:rPr>
        <w:t xml:space="preserve">Usos en el piloto:</w:t>
      </w:r>
    </w:p>
    <w:p>
      <w:pPr>
        <w:pStyle w:val="Compact"/>
        <w:numPr>
          <w:ilvl w:val="0"/>
          <w:numId w:val="1004"/>
        </w:numPr>
        <w:spacing w:after="50"/>
        <w:widowControl w:val="1"/>
      </w:pPr>
      <w:r>
        <w:rPr>
          <w:rFonts w:ascii="Arial" w:hAnsi="Arial" w:eastAsia="Arial"/>
          <w:color w:val="263238"/>
          <w:sz w:val="18"/>
        </w:rPr>
        <w:t xml:space="preserve">Crear una variable</w:t>
      </w:r>
      <w:r>
        <w:rPr>
          <w:rFonts w:ascii="Arial" w:hAnsi="Arial" w:eastAsia="Arial"/>
          <w:color w:val="263238"/>
          <w:sz w:val="18"/>
        </w:rPr>
        <w:t xml:space="preserve"> </w:t>
      </w:r>
      <w:r>
        <w:rPr>
          <w:rStyle w:val="VerbatimChar"/>
          <w:rFonts w:ascii="Arial" w:hAnsi="Arial" w:eastAsia="Arial"/>
          <w:color w:val="263238"/>
          <w:sz w:val="18"/>
        </w:rPr>
        <w:t xml:space="preserve">condicion_meteorologica</w:t>
      </w:r>
      <w:r>
        <w:rPr>
          <w:rFonts w:ascii="Arial" w:hAnsi="Arial" w:eastAsia="Arial"/>
          <w:color w:val="263238"/>
          <w:sz w:val="18"/>
        </w:rPr>
        <w:t xml:space="preserve"> </w:t>
      </w:r>
      <w:r>
        <w:rPr>
          <w:rFonts w:ascii="Arial" w:hAnsi="Arial" w:eastAsia="Arial"/>
          <w:color w:val="263238"/>
          <w:sz w:val="18"/>
        </w:rPr>
        <w:t xml:space="preserve">por fecha y zona que se cruce con el rendimiento diario del conductor.</w:t>
      </w:r>
    </w:p>
    <w:p>
      <w:pPr>
        <w:pStyle w:val="Compact"/>
        <w:numPr>
          <w:ilvl w:val="0"/>
          <w:numId w:val="1004"/>
        </w:numPr>
        <w:spacing w:after="50"/>
        <w:widowControl w:val="1"/>
      </w:pPr>
      <w:r>
        <w:rPr>
          <w:rFonts w:ascii="Arial" w:hAnsi="Arial" w:eastAsia="Arial"/>
          <w:color w:val="263238"/>
          <w:sz w:val="18"/>
        </w:rPr>
        <w:t xml:space="preserve">Ajustar los indicadores de productividad descontando el efecto del clima.</w:t>
      </w:r>
    </w:p>
    <w:p>
      <w:pPr>
        <w:pStyle w:val="FirstParagraph"/>
        <w:widowControl w:val="1"/>
      </w:pPr>
      <w:r>
        <w:rPr>
          <w:rFonts w:ascii="Arial" w:hAnsi="Arial" w:eastAsia="Arial"/>
          <w:b/>
          <w:bCs/>
          <w:color w:val="263238"/>
          <w:sz w:val="19"/>
        </w:rPr>
        <w:t xml:space="preserve">Esfuerzo:</w:t>
      </w:r>
      <w:r>
        <w:rPr>
          <w:rFonts w:ascii="Arial" w:hAnsi="Arial" w:eastAsia="Arial"/>
          <w:color w:val="263238"/>
          <w:sz w:val="19"/>
        </w:rPr>
        <w:t xml:space="preserve"> </w:t>
      </w:r>
      <w:r>
        <w:rPr>
          <w:rFonts w:ascii="Arial" w:hAnsi="Arial" w:eastAsia="Arial"/>
          <w:color w:val="263238"/>
          <w:sz w:val="19"/>
        </w:rPr>
        <w:t xml:space="preserve">½ día. API bien documentada, datos en JSON.</w:t>
      </w:r>
    </w:p>
    <w:p>
      <w:pPr>
        <w:pBdr>
          <w:bottom w:val="single" w:sz="6" w:space="3" w:color="8EA3A7"/>
        </w:pBdr>
        <w:spacing w:before="40" w:after="0" w:line="192" w:lineRule="auto"/>
        <w:widowControl w:val="1"/>
      </w:pPr>
    </w:p>
    <w:bookmarkEnd w:id="32"/>
    <w:bookmarkStart w:id="34" w:name="Xe8b89f048ae6ab19df06396c147e2cbe51b8137"/>
    <w:p>
      <w:pPr>
        <w:pStyle w:val="Heading3"/>
        <w:keepNext/>
        <w:pageBreakBefore w:val="0"/>
        <w:widowControl w:val="1"/>
      </w:pPr>
      <w:r>
        <w:t xml:space="preserve">1.3 Garbiker.eus — Horarios de apertura por garbigune</w:t>
      </w:r>
    </w:p>
    <w:p>
      <w:pPr>
        <w:pStyle w:val="FirstParagraph"/>
        <w:widowControl w:val="1"/>
      </w:pPr>
      <w:r>
        <w:rPr>
          <w:rFonts w:ascii="Arial" w:hAnsi="Arial" w:eastAsia="Arial"/>
          <w:b/>
          <w:bCs/>
          <w:color w:val="263238"/>
          <w:sz w:val="19"/>
        </w:rPr>
        <w:t xml:space="preserve">Técnica:</w:t>
      </w:r>
      <w:r>
        <w:rPr>
          <w:rFonts w:ascii="Arial" w:hAnsi="Arial" w:eastAsia="Arial"/>
          <w:color w:val="263238"/>
          <w:sz w:val="19"/>
        </w:rPr>
        <w:t xml:space="preserve"> </w:t>
      </w:r>
      <w:r>
        <w:rPr>
          <w:rFonts w:ascii="Arial" w:hAnsi="Arial" w:eastAsia="Arial"/>
          <w:color w:val="263238"/>
          <w:sz w:val="19"/>
        </w:rPr>
        <w:t xml:space="preserve">Scraping con Scrapling</w:t>
      </w:r>
      <w:r>
        <w:rPr>
          <w:rFonts w:ascii="Arial" w:hAnsi="Arial" w:eastAsia="Arial"/>
          <w:color w:val="263238"/>
          <w:sz w:val="19"/>
        </w:rPr>
        <w:br/>
      </w:r>
      <w:r>
        <w:rPr>
          <w:rFonts w:ascii="Arial" w:hAnsi="Arial" w:eastAsia="Arial"/>
          <w:b/>
          <w:bCs/>
          <w:color w:val="263238"/>
          <w:sz w:val="19"/>
        </w:rPr>
        <w:t xml:space="preserve">URL:</w:t>
      </w:r>
      <w:r>
        <w:rPr>
          <w:rFonts w:ascii="Arial" w:hAnsi="Arial" w:eastAsia="Arial"/>
          <w:color w:val="263238"/>
          <w:sz w:val="19"/>
        </w:rPr>
        <w:t xml:space="preserve"> </w:t>
      </w:r>
      <w:hyperlink r:id="rId33">
        <w:r>
          <w:rPr>
            <w:rStyle w:val="Hyperlink"/>
          </w:rPr>
          <w:t xml:space="preserve">https://www.garbiker.eus</w:t>
        </w:r>
      </w:hyperlink>
    </w:p>
    <w:p>
      <w:pPr>
        <w:pStyle w:val="BodyText"/>
        <w:widowControl w:val="1"/>
      </w:pPr>
      <w:r>
        <w:rPr>
          <w:rFonts w:ascii="Arial" w:hAnsi="Arial" w:eastAsia="Arial"/>
          <w:b/>
          <w:bCs/>
          <w:color w:val="263238"/>
          <w:sz w:val="19"/>
        </w:rPr>
        <w:t xml:space="preserve">Por qué es necesario:</w:t>
      </w:r>
      <w:r>
        <w:rPr>
          <w:rFonts w:ascii="Arial" w:hAnsi="Arial" w:eastAsia="Arial"/>
          <w:color w:val="263238"/>
          <w:sz w:val="19"/>
        </w:rPr>
        <w:t xml:space="preserve"> </w:t>
      </w:r>
      <w:r>
        <w:rPr>
          <w:rFonts w:ascii="Arial" w:hAnsi="Arial" w:eastAsia="Arial"/>
          <w:color w:val="263238"/>
          <w:sz w:val="19"/>
        </w:rPr>
        <w:t xml:space="preserve">Si un operario gestiona menos entradas que otro puede ser porque su garbigune abre menos días o menos horas, no porque trabaje peor. Normalizar el rendimiento por horas de apertura efectiva es imprescindible para que la comparación entre personas sea justa.</w:t>
      </w:r>
    </w:p>
    <w:p>
      <w:pPr>
        <w:pStyle w:val="BodyText"/>
        <w:widowControl w:val="1"/>
      </w:pPr>
      <w:r>
        <w:rPr>
          <w:rFonts w:ascii="Arial" w:hAnsi="Arial" w:eastAsia="Arial"/>
          <w:b/>
          <w:bCs/>
          <w:color w:val="263238"/>
          <w:sz w:val="19"/>
        </w:rPr>
        <w:t xml:space="preserve">Qué se extrae:</w:t>
      </w:r>
    </w:p>
    <w:p>
      <w:pPr>
        <w:pStyle w:val="Compact"/>
        <w:numPr>
          <w:ilvl w:val="0"/>
          <w:numId w:val="1005"/>
        </w:numPr>
        <w:spacing w:after="50"/>
        <w:widowControl w:val="1"/>
      </w:pPr>
      <w:r>
        <w:rPr>
          <w:rFonts w:ascii="Arial" w:hAnsi="Arial" w:eastAsia="Arial"/>
          <w:color w:val="263238"/>
          <w:sz w:val="18"/>
        </w:rPr>
        <w:t xml:space="preserve">Horario semanal de cada uno de los 35 garbigunes (días de apertura, hora inicio y cierre, variaciones estacionales).</w:t>
      </w:r>
    </w:p>
    <w:p>
      <w:pPr>
        <w:pStyle w:val="Compact"/>
        <w:numPr>
          <w:ilvl w:val="0"/>
          <w:numId w:val="1005"/>
        </w:numPr>
        <w:spacing w:after="50"/>
        <w:widowControl w:val="1"/>
      </w:pPr>
      <w:r>
        <w:rPr>
          <w:rFonts w:ascii="Arial" w:hAnsi="Arial" w:eastAsia="Arial"/>
          <w:color w:val="263238"/>
          <w:sz w:val="18"/>
        </w:rPr>
        <w:t xml:space="preserve">Tipos de residuos aceptados por punto: influye en la carga de trabajo del operario (más tipos = más gestión).</w:t>
      </w:r>
    </w:p>
    <w:p>
      <w:pPr>
        <w:pStyle w:val="FirstParagraph"/>
        <w:widowControl w:val="1"/>
      </w:pPr>
      <w:r>
        <w:rPr>
          <w:rFonts w:ascii="Arial" w:hAnsi="Arial" w:eastAsia="Arial"/>
          <w:b/>
          <w:bCs/>
          <w:color w:val="263238"/>
          <w:sz w:val="19"/>
        </w:rPr>
        <w:t xml:space="preserve">Usos en el piloto:</w:t>
      </w:r>
    </w:p>
    <w:p>
      <w:pPr>
        <w:pStyle w:val="Compact"/>
        <w:numPr>
          <w:ilvl w:val="0"/>
          <w:numId w:val="1006"/>
        </w:numPr>
        <w:spacing w:after="50"/>
        <w:widowControl w:val="1"/>
      </w:pPr>
      <w:r>
        <w:rPr>
          <w:rFonts w:ascii="Arial" w:hAnsi="Arial" w:eastAsia="Arial"/>
          <w:color w:val="263238"/>
          <w:sz w:val="18"/>
        </w:rPr>
        <w:t xml:space="preserve">Calcular horas de servicio efectivas por garbigune y periodo.</w:t>
      </w:r>
    </w:p>
    <w:p>
      <w:pPr>
        <w:pStyle w:val="Compact"/>
        <w:numPr>
          <w:ilvl w:val="0"/>
          <w:numId w:val="1006"/>
        </w:numPr>
        <w:spacing w:after="50"/>
        <w:widowControl w:val="1"/>
      </w:pPr>
      <w:r>
        <w:rPr>
          <w:rFonts w:ascii="Arial" w:hAnsi="Arial" w:eastAsia="Arial"/>
          <w:color w:val="263238"/>
          <w:sz w:val="18"/>
        </w:rPr>
        <w:t xml:space="preserve">Construir el indicador de rendimiento por hora trabajada para los operarios de punto limpio (si el campo</w:t>
      </w:r>
      <w:r>
        <w:rPr>
          <w:rFonts w:ascii="Arial" w:hAnsi="Arial" w:eastAsia="Arial"/>
          <w:color w:val="263238"/>
          <w:sz w:val="18"/>
        </w:rPr>
        <w:t xml:space="preserve"> </w:t>
      </w:r>
      <w:r>
        <w:rPr>
          <w:rStyle w:val="VerbatimChar"/>
          <w:rFonts w:ascii="Arial" w:hAnsi="Arial" w:eastAsia="Arial"/>
          <w:color w:val="263238"/>
          <w:sz w:val="18"/>
        </w:rPr>
        <w:t xml:space="preserve">Operador</w:t>
      </w:r>
      <w:r>
        <w:rPr>
          <w:rFonts w:ascii="Arial" w:hAnsi="Arial" w:eastAsia="Arial"/>
          <w:color w:val="263238"/>
          <w:sz w:val="18"/>
        </w:rPr>
        <w:t xml:space="preserve"> </w:t>
      </w:r>
      <w:r>
        <w:rPr>
          <w:rFonts w:ascii="Arial" w:hAnsi="Arial" w:eastAsia="Arial"/>
          <w:color w:val="263238"/>
          <w:sz w:val="18"/>
        </w:rPr>
        <w:t xml:space="preserve">de Actais Waste está disponible).</w:t>
      </w:r>
    </w:p>
    <w:p>
      <w:pPr>
        <w:pStyle w:val="FirstParagraph"/>
        <w:widowControl w:val="1"/>
      </w:pPr>
      <w:r>
        <w:rPr>
          <w:rFonts w:ascii="Arial" w:hAnsi="Arial" w:eastAsia="Arial"/>
          <w:b/>
          <w:bCs/>
          <w:color w:val="263238"/>
          <w:sz w:val="19"/>
        </w:rPr>
        <w:t xml:space="preserve">Esfuerzo:</w:t>
      </w:r>
      <w:r>
        <w:rPr>
          <w:rFonts w:ascii="Arial" w:hAnsi="Arial" w:eastAsia="Arial"/>
          <w:color w:val="263238"/>
          <w:sz w:val="19"/>
        </w:rPr>
        <w:t xml:space="preserve"> </w:t>
      </w:r>
      <w:r>
        <w:rPr>
          <w:rFonts w:ascii="Arial" w:hAnsi="Arial" w:eastAsia="Arial"/>
          <w:color w:val="263238"/>
          <w:sz w:val="19"/>
        </w:rPr>
        <w:t xml:space="preserve">½ día. Web estática sin anti-bot relevante.</w:t>
      </w:r>
    </w:p>
    <w:p>
      <w:pPr>
        <w:pBdr>
          <w:bottom w:val="single" w:sz="6" w:space="3" w:color="8EA3A7"/>
        </w:pBdr>
        <w:spacing w:before="40" w:after="0" w:line="192" w:lineRule="auto"/>
        <w:widowControl w:val="1"/>
      </w:pPr>
    </w:p>
    <w:bookmarkEnd w:id="34"/>
    <w:bookmarkEnd w:id="35"/>
    <w:bookmarkStart w:id="46" w:name="X66e9b46e89baf3cf907feb90b74053d06296361"/>
    <w:p>
      <w:pPr>
        <w:pStyle w:val="Heading2"/>
        <w:keepNext/>
        <w:pageBreakBefore w:val="0"/>
        <w:widowControl w:val="1"/>
      </w:pPr>
      <w:r>
        <w:t xml:space="preserve">2. Fuentes externas — Piloto B (Costes, rutas y logística)</w:t>
      </w:r>
    </w:p>
    <w:bookmarkStart w:id="36" w:name="X598d9b23e7df35ff7a11cb9beb62bcee84e861d"/>
    <w:p>
      <w:pPr>
        <w:pStyle w:val="Heading3"/>
        <w:keepNext/>
        <w:pageBreakBefore w:val="0"/>
        <w:widowControl w:val="1"/>
      </w:pPr>
      <w:r>
        <w:t xml:space="preserve">2.1 Google Maps — Distancias, tiempos, perfil de garbigunes y afluencia</w:t>
      </w:r>
    </w:p>
    <w:p>
      <w:pPr>
        <w:pStyle w:val="FirstParagraph"/>
        <w:widowControl w:val="1"/>
      </w:pPr>
      <w:r>
        <w:rPr>
          <w:rFonts w:ascii="Arial" w:hAnsi="Arial" w:eastAsia="Arial"/>
          <w:b/>
          <w:bCs/>
          <w:color w:val="263238"/>
          <w:sz w:val="19"/>
        </w:rPr>
        <w:t xml:space="preserve">Técnica:</w:t>
      </w:r>
      <w:r>
        <w:rPr>
          <w:rFonts w:ascii="Arial" w:hAnsi="Arial" w:eastAsia="Arial"/>
          <w:color w:val="263238"/>
          <w:sz w:val="19"/>
        </w:rPr>
        <w:t xml:space="preserve"> </w:t>
      </w:r>
      <w:r>
        <w:rPr>
          <w:rFonts w:ascii="Arial" w:hAnsi="Arial" w:eastAsia="Arial"/>
          <w:color w:val="263238"/>
          <w:sz w:val="19"/>
        </w:rPr>
        <w:t xml:space="preserve">Scraping HTTP de APIs internas de Google Maps (disponible en el portfolio)</w:t>
      </w:r>
      <w:r>
        <w:rPr>
          <w:rFonts w:ascii="Arial" w:hAnsi="Arial" w:eastAsia="Arial"/>
          <w:color w:val="263238"/>
          <w:sz w:val="19"/>
        </w:rPr>
        <w:br/>
      </w:r>
      <w:r>
        <w:rPr>
          <w:rFonts w:ascii="Arial" w:hAnsi="Arial" w:eastAsia="Arial"/>
          <w:b/>
          <w:bCs/>
          <w:color w:val="263238"/>
          <w:sz w:val="19"/>
        </w:rPr>
        <w:t xml:space="preserve">Cobertura:</w:t>
      </w:r>
      <w:r>
        <w:rPr>
          <w:rFonts w:ascii="Arial" w:hAnsi="Arial" w:eastAsia="Arial"/>
          <w:color w:val="263238"/>
          <w:sz w:val="19"/>
        </w:rPr>
        <w:t xml:space="preserve"> </w:t>
      </w:r>
      <w:r>
        <w:rPr>
          <w:rFonts w:ascii="Arial" w:hAnsi="Arial" w:eastAsia="Arial"/>
          <w:color w:val="263238"/>
          <w:sz w:val="19"/>
        </w:rPr>
        <w:t xml:space="preserve">Bizkaia completa</w:t>
      </w:r>
    </w:p>
    <w:p>
      <w:pPr>
        <w:pStyle w:val="BodyText"/>
        <w:widowControl w:val="1"/>
      </w:pPr>
      <w:r>
        <w:rPr>
          <w:rFonts w:ascii="Arial" w:hAnsi="Arial" w:eastAsia="Arial"/>
          <w:b/>
          <w:bCs/>
          <w:color w:val="263238"/>
          <w:sz w:val="19"/>
        </w:rPr>
        <w:t xml:space="preserve">Por qué es necesario:</w:t>
      </w:r>
      <w:r>
        <w:rPr>
          <w:rFonts w:ascii="Arial" w:hAnsi="Arial" w:eastAsia="Arial"/>
          <w:color w:val="263238"/>
          <w:sz w:val="19"/>
        </w:rPr>
        <w:t xml:space="preserve"> </w:t>
      </w:r>
      <w:r>
        <w:rPr>
          <w:rFonts w:ascii="Arial" w:hAnsi="Arial" w:eastAsia="Arial"/>
          <w:color w:val="263238"/>
          <w:sz w:val="19"/>
        </w:rPr>
        <w:t xml:space="preserve">Sin distancias reales entre garbigunes y gestores no hay modelo de coste de transporte. Pero Google Maps ofrece mucho más que eso cuando se rasca la ficha de cada punto limpio como negocio local.</w:t>
      </w:r>
    </w:p>
    <w:p>
      <w:pPr>
        <w:pStyle w:val="BodyText"/>
        <w:widowControl w:val="1"/>
      </w:pPr>
      <w:r>
        <w:rPr>
          <w:rFonts w:ascii="Arial" w:hAnsi="Arial" w:eastAsia="Arial"/>
          <w:b/>
          <w:bCs/>
          <w:color w:val="263238"/>
          <w:sz w:val="19"/>
        </w:rPr>
        <w:t xml:space="preserve">Qué se extrae — capa de rutas (Distance Matrix):</w:t>
      </w:r>
    </w:p>
    <w:p>
      <w:pPr>
        <w:pStyle w:val="Compact"/>
        <w:numPr>
          <w:ilvl w:val="0"/>
          <w:numId w:val="1007"/>
        </w:numPr>
        <w:spacing w:after="50"/>
        <w:widowControl w:val="1"/>
      </w:pPr>
      <w:r>
        <w:rPr>
          <w:rFonts w:ascii="Arial" w:hAnsi="Arial" w:eastAsia="Arial"/>
          <w:color w:val="263238"/>
          <w:sz w:val="18"/>
        </w:rPr>
        <w:t xml:space="preserve">Distancia en km y tiempo de trayecto entre cada garbigune (35) y cada gestor/destino (18): 630 pares en una sola ejecución.</w:t>
      </w:r>
    </w:p>
    <w:p>
      <w:pPr>
        <w:pStyle w:val="Compact"/>
        <w:numPr>
          <w:ilvl w:val="0"/>
          <w:numId w:val="1007"/>
        </w:numPr>
        <w:spacing w:after="50"/>
        <w:widowControl w:val="1"/>
      </w:pPr>
      <w:r>
        <w:rPr>
          <w:rFonts w:ascii="Arial" w:hAnsi="Arial" w:eastAsia="Arial"/>
          <w:color w:val="263238"/>
          <w:sz w:val="18"/>
        </w:rPr>
        <w:t xml:space="preserve">Base del coste variable por ruta (distancia × €/km) y referencia para comparar con tiempos reales cuando lleguen los datos GPS.</w:t>
      </w:r>
    </w:p>
    <w:p>
      <w:pPr>
        <w:pStyle w:val="FirstParagraph"/>
        <w:widowControl w:val="1"/>
      </w:pPr>
      <w:r>
        <w:rPr>
          <w:rFonts w:ascii="Arial" w:hAnsi="Arial" w:eastAsia="Arial"/>
          <w:b/>
          <w:bCs/>
          <w:color w:val="263238"/>
          <w:sz w:val="19"/>
        </w:rPr>
        <w:t xml:space="preserve">Qué se extrae — capa de ficha de garbigune (Places / Business Profile):</w:t>
      </w:r>
    </w:p>
    <w:p>
      <w:pPr>
        <w:pStyle w:val="Compact"/>
        <w:numPr>
          <w:ilvl w:val="0"/>
          <w:numId w:val="1008"/>
        </w:numPr>
        <w:spacing w:after="50"/>
        <w:widowControl w:val="1"/>
      </w:pPr>
      <w:r>
        <w:rPr>
          <w:rFonts w:ascii="Arial" w:hAnsi="Arial" w:eastAsia="Arial"/>
          <w:color w:val="263238"/>
          <w:sz w:val="18"/>
        </w:rPr>
        <w:t xml:space="preserve">Rating medio y número de reseñas de cada punto limpio: proxy de satisfacción ciudadana del servicio por ubicación.</w:t>
      </w:r>
    </w:p>
    <w:p>
      <w:pPr>
        <w:pStyle w:val="Compact"/>
        <w:numPr>
          <w:ilvl w:val="0"/>
          <w:numId w:val="1008"/>
        </w:numPr>
        <w:spacing w:after="50"/>
        <w:widowControl w:val="1"/>
      </w:pPr>
      <w:r>
        <w:rPr>
          <w:rFonts w:ascii="Arial" w:hAnsi="Arial" w:eastAsia="Arial"/>
          <w:color w:val="263238"/>
          <w:sz w:val="18"/>
        </w:rPr>
        <w:t xml:space="preserve">Texto de las reseñas: análisis cualitativo de quejas recurrentes (colas, horarios, personal, limpieza) que puede correlacionarse con el análisis de operarios del Piloto A.</w:t>
      </w:r>
    </w:p>
    <w:p>
      <w:pPr>
        <w:pStyle w:val="Compact"/>
        <w:numPr>
          <w:ilvl w:val="0"/>
          <w:numId w:val="1008"/>
        </w:numPr>
        <w:spacing w:after="50"/>
        <w:widowControl w:val="1"/>
      </w:pPr>
      <w:r>
        <w:rPr>
          <w:rFonts w:ascii="Arial" w:hAnsi="Arial" w:eastAsia="Arial"/>
          <w:color w:val="263238"/>
          <w:sz w:val="18"/>
        </w:rPr>
        <w:t xml:space="preserve">Fotografías: permiten auditar el estado visual del punto limpio sin visita presencial.</w:t>
      </w:r>
    </w:p>
    <w:p>
      <w:pPr>
        <w:pStyle w:val="FirstParagraph"/>
        <w:widowControl w:val="1"/>
      </w:pPr>
      <w:r>
        <w:rPr>
          <w:rFonts w:ascii="Arial" w:hAnsi="Arial" w:eastAsia="Arial"/>
          <w:b/>
          <w:bCs/>
          <w:color w:val="263238"/>
          <w:sz w:val="19"/>
        </w:rPr>
        <w:t xml:space="preserve">Qué se extrae — capa de Popular Times (afluencia por hora):</w:t>
      </w:r>
    </w:p>
    <w:p>
      <w:pPr>
        <w:pStyle w:val="Compact"/>
        <w:numPr>
          <w:ilvl w:val="0"/>
          <w:numId w:val="1009"/>
        </w:numPr>
        <w:spacing w:after="50"/>
        <w:widowControl w:val="1"/>
      </w:pPr>
      <w:r>
        <w:rPr>
          <w:rFonts w:ascii="Arial" w:hAnsi="Arial" w:eastAsia="Arial"/>
          <w:color w:val="263238"/>
          <w:sz w:val="18"/>
        </w:rPr>
        <w:t xml:space="preserve">Curva de afluencia media por hora del día y día de la semana para cada garbigune: cuándo hay más ciudadanos esperando.</w:t>
      </w:r>
    </w:p>
    <w:p>
      <w:pPr>
        <w:pStyle w:val="Compact"/>
        <w:numPr>
          <w:ilvl w:val="0"/>
          <w:numId w:val="1009"/>
        </w:numPr>
        <w:spacing w:after="50"/>
        <w:widowControl w:val="1"/>
      </w:pPr>
      <w:r>
        <w:rPr>
          <w:rFonts w:ascii="Arial" w:hAnsi="Arial" w:eastAsia="Arial"/>
          <w:color w:val="263238"/>
          <w:sz w:val="18"/>
        </w:rPr>
        <w:t xml:space="preserve">Permite identificar los picos de demanda reales por punto limpio, que no siempre coinciden con los horarios de mayor entrada registrada en Actais Waste.</w:t>
      </w:r>
    </w:p>
    <w:p>
      <w:pPr>
        <w:pStyle w:val="FirstParagraph"/>
        <w:widowControl w:val="1"/>
      </w:pPr>
      <w:r>
        <w:rPr>
          <w:rFonts w:ascii="Arial" w:hAnsi="Arial" w:eastAsia="Arial"/>
          <w:b/>
          <w:bCs/>
          <w:color w:val="263238"/>
          <w:sz w:val="19"/>
        </w:rPr>
        <w:t xml:space="preserve">Usos en el piloto:</w:t>
      </w:r>
    </w:p>
    <w:p>
      <w:pPr>
        <w:pStyle w:val="Compact"/>
        <w:numPr>
          <w:ilvl w:val="0"/>
          <w:numId w:val="1010"/>
        </w:numPr>
        <w:spacing w:after="50"/>
        <w:widowControl w:val="1"/>
      </w:pPr>
      <w:r>
        <w:rPr>
          <w:rFonts w:ascii="Arial" w:hAnsi="Arial" w:eastAsia="Arial"/>
          <w:color w:val="263238"/>
          <w:sz w:val="18"/>
        </w:rPr>
        <w:t xml:space="preserve">Pilotos B — Rutas: construir la matriz de costes de transporte base y detectar rutas donde la distancia real difiere mucho de lo esperado.</w:t>
      </w:r>
    </w:p>
    <w:p>
      <w:pPr>
        <w:pStyle w:val="Compact"/>
        <w:numPr>
          <w:ilvl w:val="0"/>
          <w:numId w:val="1010"/>
        </w:numPr>
        <w:spacing w:after="50"/>
        <w:widowControl w:val="1"/>
      </w:pPr>
      <w:r>
        <w:rPr>
          <w:rFonts w:ascii="Arial" w:hAnsi="Arial" w:eastAsia="Arial"/>
          <w:color w:val="263238"/>
          <w:sz w:val="18"/>
        </w:rPr>
        <w:t xml:space="preserve">Pilotos B — Optimización: proponer reasignaciones de garbigunes a rutas minimizando distancia/tiempo total.</w:t>
      </w:r>
    </w:p>
    <w:p>
      <w:pPr>
        <w:pStyle w:val="Compact"/>
        <w:numPr>
          <w:ilvl w:val="0"/>
          <w:numId w:val="1010"/>
        </w:numPr>
        <w:spacing w:after="50"/>
        <w:widowControl w:val="1"/>
      </w:pPr>
      <w:r>
        <w:rPr>
          <w:rFonts w:ascii="Arial" w:hAnsi="Arial" w:eastAsia="Arial"/>
          <w:color w:val="263238"/>
          <w:sz w:val="18"/>
        </w:rPr>
        <w:t xml:space="preserve">Pilotos B — Calidad de servicio: ranking de garbigunes por rating ciudadano y análisis de texto de reseñas para identificar puntos problemáticos.</w:t>
      </w:r>
    </w:p>
    <w:p>
      <w:pPr>
        <w:pStyle w:val="Compact"/>
        <w:numPr>
          <w:ilvl w:val="0"/>
          <w:numId w:val="1010"/>
        </w:numPr>
        <w:spacing w:after="50"/>
        <w:widowControl w:val="1"/>
      </w:pPr>
      <w:r>
        <w:rPr>
          <w:rFonts w:ascii="Arial" w:hAnsi="Arial" w:eastAsia="Arial"/>
          <w:color w:val="263238"/>
          <w:sz w:val="18"/>
        </w:rPr>
        <w:t xml:space="preserve">Pilotos B — Capacidad: cruzar la curva de afluencia (Popular Times) con las entradas registradas en Actais Waste para validar y detectar picos no cubiertos.</w:t>
      </w:r>
    </w:p>
    <w:p>
      <w:pPr>
        <w:pStyle w:val="Compact"/>
        <w:numPr>
          <w:ilvl w:val="0"/>
          <w:numId w:val="1010"/>
        </w:numPr>
        <w:spacing w:after="50"/>
        <w:widowControl w:val="1"/>
      </w:pPr>
      <w:r>
        <w:rPr>
          <w:rFonts w:ascii="Arial" w:hAnsi="Arial" w:eastAsia="Arial"/>
          <w:color w:val="263238"/>
          <w:sz w:val="18"/>
        </w:rPr>
        <w:t xml:space="preserve">Cuando lleguen los datos GPS: comparar la ruta real conducida con la óptima calculada por Google Maps.</w:t>
      </w:r>
    </w:p>
    <w:p>
      <w:pPr>
        <w:pStyle w:val="FirstParagraph"/>
        <w:widowControl w:val="1"/>
      </w:pPr>
      <w:r>
        <w:rPr>
          <w:rFonts w:ascii="Arial" w:hAnsi="Arial" w:eastAsia="Arial"/>
          <w:b/>
          <w:bCs/>
          <w:color w:val="263238"/>
          <w:sz w:val="19"/>
        </w:rPr>
        <w:t xml:space="preserve">Esfuerzo:</w:t>
      </w:r>
      <w:r>
        <w:rPr>
          <w:rFonts w:ascii="Arial" w:hAnsi="Arial" w:eastAsia="Arial"/>
          <w:color w:val="263238"/>
          <w:sz w:val="19"/>
        </w:rPr>
        <w:t xml:space="preserve"> </w:t>
      </w:r>
      <w:r>
        <w:rPr>
          <w:rFonts w:ascii="Arial" w:hAnsi="Arial" w:eastAsia="Arial"/>
          <w:color w:val="263238"/>
          <w:sz w:val="19"/>
        </w:rPr>
        <w:t xml:space="preserve">1 día. El scraper de fichas de Google Maps está disponible en el portfolio (incluye rating, reseñas e histograma de Popular Times). La parte de Distance Matrix es una ejecución puntual adicional. Coste residual.</w:t>
      </w:r>
    </w:p>
    <w:p>
      <w:pPr>
        <w:pBdr>
          <w:bottom w:val="single" w:sz="6" w:space="3" w:color="8EA3A7"/>
        </w:pBdr>
        <w:spacing w:before="40" w:after="0" w:line="192" w:lineRule="auto"/>
        <w:widowControl w:val="1"/>
      </w:pPr>
    </w:p>
    <w:bookmarkEnd w:id="36"/>
    <w:bookmarkStart w:id="38" w:name="Xdc4c0b91636a0d4d816df7d821c8d356985058d"/>
    <w:p>
      <w:pPr>
        <w:pStyle w:val="Heading3"/>
        <w:keepNext/>
        <w:pageBreakBefore w:val="0"/>
        <w:widowControl w:val="1"/>
      </w:pPr>
      <w:r>
        <w:t xml:space="preserve">2.2 IHOBE — Generación de residuos por municipio</w:t>
      </w:r>
    </w:p>
    <w:p>
      <w:pPr>
        <w:pStyle w:val="FirstParagraph"/>
        <w:widowControl w:val="1"/>
      </w:pPr>
      <w:r>
        <w:rPr>
          <w:rFonts w:ascii="Arial" w:hAnsi="Arial" w:eastAsia="Arial"/>
          <w:b/>
          <w:bCs/>
          <w:color w:val="263238"/>
          <w:sz w:val="19"/>
        </w:rPr>
        <w:t xml:space="preserve">URL:</w:t>
      </w:r>
      <w:r>
        <w:rPr>
          <w:rFonts w:ascii="Arial" w:hAnsi="Arial" w:eastAsia="Arial"/>
          <w:color w:val="263238"/>
          <w:sz w:val="19"/>
        </w:rPr>
        <w:t xml:space="preserve"> </w:t>
      </w:r>
      <w:hyperlink r:id="rId37">
        <w:r>
          <w:rPr>
            <w:rStyle w:val="Hyperlink"/>
          </w:rPr>
          <w:t xml:space="preserve">https://www.ihobe.eus/publicaciones/estadisticas-residuos</w:t>
        </w:r>
      </w:hyperlink>
      <w:r>
        <w:rPr>
          <w:rFonts w:ascii="Arial" w:hAnsi="Arial" w:eastAsia="Arial"/>
          <w:color w:val="263238"/>
          <w:sz w:val="19"/>
        </w:rPr>
        <w:br/>
      </w:r>
      <w:r>
        <w:rPr>
          <w:rFonts w:ascii="Arial" w:hAnsi="Arial" w:eastAsia="Arial"/>
          <w:b/>
          <w:bCs/>
          <w:color w:val="263238"/>
          <w:sz w:val="19"/>
        </w:rPr>
        <w:t xml:space="preserve">Tipo de acceso:</w:t>
      </w:r>
      <w:r>
        <w:rPr>
          <w:rFonts w:ascii="Arial" w:hAnsi="Arial" w:eastAsia="Arial"/>
          <w:color w:val="263238"/>
          <w:sz w:val="19"/>
        </w:rPr>
        <w:t xml:space="preserve"> </w:t>
      </w:r>
      <w:r>
        <w:rPr>
          <w:rFonts w:ascii="Arial" w:hAnsi="Arial" w:eastAsia="Arial"/>
          <w:color w:val="263238"/>
          <w:sz w:val="19"/>
        </w:rPr>
        <w:t xml:space="preserve">Descarga directa Excel</w:t>
      </w:r>
    </w:p>
    <w:p>
      <w:pPr>
        <w:pStyle w:val="BodyText"/>
        <w:widowControl w:val="1"/>
      </w:pPr>
      <w:r>
        <w:rPr>
          <w:rFonts w:ascii="Arial" w:hAnsi="Arial" w:eastAsia="Arial"/>
          <w:b/>
          <w:bCs/>
          <w:color w:val="263238"/>
          <w:sz w:val="19"/>
        </w:rPr>
        <w:t xml:space="preserve">Por qué es necesario:</w:t>
      </w:r>
      <w:r>
        <w:rPr>
          <w:rFonts w:ascii="Arial" w:hAnsi="Arial" w:eastAsia="Arial"/>
          <w:color w:val="263238"/>
          <w:sz w:val="19"/>
        </w:rPr>
        <w:t xml:space="preserve"> </w:t>
      </w:r>
      <w:r>
        <w:rPr>
          <w:rFonts w:ascii="Arial" w:hAnsi="Arial" w:eastAsia="Arial"/>
          <w:color w:val="263238"/>
          <w:sz w:val="19"/>
        </w:rPr>
        <w:t xml:space="preserve">Los transportes realizados reflejan lo que se recogió, no lo que se generó. Sin la generación teórica por municipio no se puede saber si un garbigune está captando bien o mal el residuo de su área de influencia.</w:t>
      </w:r>
    </w:p>
    <w:p>
      <w:pPr>
        <w:pStyle w:val="BodyText"/>
        <w:widowControl w:val="1"/>
      </w:pPr>
      <w:r>
        <w:rPr>
          <w:rFonts w:ascii="Arial" w:hAnsi="Arial" w:eastAsia="Arial"/>
          <w:b/>
          <w:bCs/>
          <w:color w:val="263238"/>
          <w:sz w:val="19"/>
        </w:rPr>
        <w:t xml:space="preserve">Qué se extrae:</w:t>
      </w:r>
    </w:p>
    <w:p>
      <w:pPr>
        <w:pStyle w:val="Compact"/>
        <w:numPr>
          <w:ilvl w:val="0"/>
          <w:numId w:val="1011"/>
        </w:numPr>
        <w:spacing w:after="50"/>
        <w:widowControl w:val="1"/>
      </w:pPr>
      <w:r>
        <w:rPr>
          <w:rFonts w:ascii="Arial" w:hAnsi="Arial" w:eastAsia="Arial"/>
          <w:color w:val="263238"/>
          <w:sz w:val="18"/>
        </w:rPr>
        <w:t xml:space="preserve">Kg de residuo doméstico generado por municipio y año, desglosado por fracción (voluminosos, RAEEs, metales, maderas, etc.).</w:t>
      </w:r>
    </w:p>
    <w:p>
      <w:pPr>
        <w:pStyle w:val="FirstParagraph"/>
        <w:widowControl w:val="1"/>
      </w:pPr>
      <w:r>
        <w:rPr>
          <w:rFonts w:ascii="Arial" w:hAnsi="Arial" w:eastAsia="Arial"/>
          <w:b/>
          <w:bCs/>
          <w:color w:val="263238"/>
          <w:sz w:val="19"/>
        </w:rPr>
        <w:t xml:space="preserve">Usos en el piloto:</w:t>
      </w:r>
    </w:p>
    <w:p>
      <w:pPr>
        <w:pStyle w:val="Compact"/>
        <w:numPr>
          <w:ilvl w:val="0"/>
          <w:numId w:val="1012"/>
        </w:numPr>
        <w:spacing w:after="50"/>
        <w:widowControl w:val="1"/>
      </w:pPr>
      <w:r>
        <w:rPr>
          <w:rFonts w:ascii="Arial" w:hAnsi="Arial" w:eastAsia="Arial"/>
          <w:color w:val="263238"/>
          <w:sz w:val="18"/>
        </w:rPr>
        <w:t xml:space="preserve">Calcular la tasa de captación real de cada garbigune (kg transportados / kg generados en su área).</w:t>
      </w:r>
    </w:p>
    <w:p>
      <w:pPr>
        <w:pStyle w:val="Compact"/>
        <w:numPr>
          <w:ilvl w:val="0"/>
          <w:numId w:val="1012"/>
        </w:numPr>
        <w:spacing w:after="50"/>
        <w:widowControl w:val="1"/>
      </w:pPr>
      <w:r>
        <w:rPr>
          <w:rFonts w:ascii="Arial" w:hAnsi="Arial" w:eastAsia="Arial"/>
          <w:color w:val="263238"/>
          <w:sz w:val="18"/>
        </w:rPr>
        <w:t xml:space="preserve">Identificar municipios con baja captación que podrían beneficiarse de más capacidad o mejor asignación.</w:t>
      </w:r>
    </w:p>
    <w:p>
      <w:pPr>
        <w:pStyle w:val="Compact"/>
        <w:numPr>
          <w:ilvl w:val="0"/>
          <w:numId w:val="1012"/>
        </w:numPr>
        <w:spacing w:after="50"/>
        <w:widowControl w:val="1"/>
      </w:pPr>
      <w:r>
        <w:rPr>
          <w:rFonts w:ascii="Arial" w:hAnsi="Arial" w:eastAsia="Arial"/>
          <w:color w:val="263238"/>
          <w:sz w:val="18"/>
        </w:rPr>
        <w:t xml:space="preserve">Proyectar la demanda futura para dimensionar rutas y flota.</w:t>
      </w:r>
    </w:p>
    <w:p>
      <w:pPr>
        <w:pStyle w:val="FirstParagraph"/>
        <w:widowControl w:val="1"/>
      </w:pPr>
      <w:r>
        <w:rPr>
          <w:rFonts w:ascii="Arial" w:hAnsi="Arial" w:eastAsia="Arial"/>
          <w:b/>
          <w:bCs/>
          <w:color w:val="263238"/>
          <w:sz w:val="19"/>
        </w:rPr>
        <w:t xml:space="preserve">Esfuerzo:</w:t>
      </w:r>
      <w:r>
        <w:rPr>
          <w:rFonts w:ascii="Arial" w:hAnsi="Arial" w:eastAsia="Arial"/>
          <w:color w:val="263238"/>
          <w:sz w:val="19"/>
        </w:rPr>
        <w:t xml:space="preserve"> </w:t>
      </w:r>
      <w:r>
        <w:rPr>
          <w:rFonts w:ascii="Arial" w:hAnsi="Arial" w:eastAsia="Arial"/>
          <w:color w:val="263238"/>
          <w:sz w:val="19"/>
        </w:rPr>
        <w:t xml:space="preserve">½ día. Descarga directa de Excel anuales. Actualización anual.</w:t>
      </w:r>
    </w:p>
    <w:p>
      <w:pPr>
        <w:pBdr>
          <w:bottom w:val="single" w:sz="6" w:space="3" w:color="8EA3A7"/>
        </w:pBdr>
        <w:spacing w:before="40" w:after="0" w:line="192" w:lineRule="auto"/>
        <w:widowControl w:val="1"/>
      </w:pPr>
    </w:p>
    <w:bookmarkEnd w:id="38"/>
    <w:bookmarkStart w:id="40" w:name="Xca1bd6e715d6bab3a6347845e594aeb5ad9e8c7"/>
    <w:p>
      <w:pPr>
        <w:pStyle w:val="Heading3"/>
        <w:keepNext/>
        <w:pageBreakBefore w:val="0"/>
        <w:widowControl w:val="1"/>
      </w:pPr>
      <w:r>
        <w:t xml:space="preserve">2.3 EUSTAT — Población y actividad económica municipal</w:t>
      </w:r>
    </w:p>
    <w:p>
      <w:pPr>
        <w:pStyle w:val="FirstParagraph"/>
        <w:widowControl w:val="1"/>
      </w:pPr>
      <w:r>
        <w:rPr>
          <w:rFonts w:ascii="Arial" w:hAnsi="Arial" w:eastAsia="Arial"/>
          <w:b/>
          <w:bCs/>
          <w:color w:val="263238"/>
          <w:sz w:val="19"/>
        </w:rPr>
        <w:t xml:space="preserve">URL:</w:t>
      </w:r>
      <w:r>
        <w:rPr>
          <w:rFonts w:ascii="Arial" w:hAnsi="Arial" w:eastAsia="Arial"/>
          <w:color w:val="263238"/>
          <w:sz w:val="19"/>
        </w:rPr>
        <w:t xml:space="preserve"> </w:t>
      </w:r>
      <w:hyperlink r:id="rId39">
        <w:r>
          <w:rPr>
            <w:rStyle w:val="Hyperlink"/>
          </w:rPr>
          <w:t xml:space="preserve">https://www.eustat.eus</w:t>
        </w:r>
      </w:hyperlink>
      <w:r>
        <w:rPr>
          <w:rFonts w:ascii="Arial" w:hAnsi="Arial" w:eastAsia="Arial"/>
          <w:color w:val="263238"/>
          <w:sz w:val="19"/>
        </w:rPr>
        <w:br/>
      </w:r>
      <w:r>
        <w:rPr>
          <w:rFonts w:ascii="Arial" w:hAnsi="Arial" w:eastAsia="Arial"/>
          <w:b/>
          <w:bCs/>
          <w:color w:val="263238"/>
          <w:sz w:val="19"/>
        </w:rPr>
        <w:t xml:space="preserve">Tipo de acceso:</w:t>
      </w:r>
      <w:r>
        <w:rPr>
          <w:rFonts w:ascii="Arial" w:hAnsi="Arial" w:eastAsia="Arial"/>
          <w:color w:val="263238"/>
          <w:sz w:val="19"/>
        </w:rPr>
        <w:t xml:space="preserve"> </w:t>
      </w:r>
      <w:r>
        <w:rPr>
          <w:rFonts w:ascii="Arial" w:hAnsi="Arial" w:eastAsia="Arial"/>
          <w:color w:val="263238"/>
          <w:sz w:val="19"/>
        </w:rPr>
        <w:t xml:space="preserve">API REST gratuita</w:t>
      </w:r>
    </w:p>
    <w:p>
      <w:pPr>
        <w:pStyle w:val="BodyText"/>
        <w:widowControl w:val="1"/>
      </w:pPr>
      <w:r>
        <w:rPr>
          <w:rFonts w:ascii="Arial" w:hAnsi="Arial" w:eastAsia="Arial"/>
          <w:b/>
          <w:bCs/>
          <w:color w:val="263238"/>
          <w:sz w:val="19"/>
        </w:rPr>
        <w:t xml:space="preserve">Por qué es necesario:</w:t>
      </w:r>
      <w:r>
        <w:rPr>
          <w:rFonts w:ascii="Arial" w:hAnsi="Arial" w:eastAsia="Arial"/>
          <w:color w:val="263238"/>
          <w:sz w:val="19"/>
        </w:rPr>
        <w:t xml:space="preserve"> </w:t>
      </w:r>
      <w:r>
        <w:rPr>
          <w:rFonts w:ascii="Arial" w:hAnsi="Arial" w:eastAsia="Arial"/>
          <w:color w:val="263238"/>
          <w:sz w:val="19"/>
        </w:rPr>
        <w:t xml:space="preserve">El volumen de residuos transportado desde un garbigune depende en parte de la población y del tipo de actividad económica de su área. Sin normalizar por habitantes, estamos comparando garbigunes de municipios de tamaños muy distintos.</w:t>
      </w:r>
    </w:p>
    <w:p>
      <w:pPr>
        <w:pStyle w:val="BodyText"/>
        <w:widowControl w:val="1"/>
      </w:pPr>
      <w:r>
        <w:rPr>
          <w:rFonts w:ascii="Arial" w:hAnsi="Arial" w:eastAsia="Arial"/>
          <w:b/>
          <w:bCs/>
          <w:color w:val="263238"/>
          <w:sz w:val="19"/>
        </w:rPr>
        <w:t xml:space="preserve">Qué se extrae:</w:t>
      </w:r>
    </w:p>
    <w:p>
      <w:pPr>
        <w:pStyle w:val="Compact"/>
        <w:numPr>
          <w:ilvl w:val="0"/>
          <w:numId w:val="1013"/>
        </w:numPr>
        <w:spacing w:after="50"/>
        <w:widowControl w:val="1"/>
      </w:pPr>
      <w:r>
        <w:rPr>
          <w:rFonts w:ascii="Arial" w:hAnsi="Arial" w:eastAsia="Arial"/>
          <w:color w:val="263238"/>
          <w:sz w:val="18"/>
        </w:rPr>
        <w:t xml:space="preserve">Padrón municipal: habitantes por municipio y año.</w:t>
      </w:r>
    </w:p>
    <w:p>
      <w:pPr>
        <w:pStyle w:val="Compact"/>
        <w:numPr>
          <w:ilvl w:val="0"/>
          <w:numId w:val="1013"/>
        </w:numPr>
        <w:spacing w:after="50"/>
        <w:widowControl w:val="1"/>
      </w:pPr>
      <w:r>
        <w:rPr>
          <w:rFonts w:ascii="Arial" w:hAnsi="Arial" w:eastAsia="Arial"/>
          <w:color w:val="263238"/>
          <w:sz w:val="18"/>
        </w:rPr>
        <w:t xml:space="preserve">Actividad económica por municipio: presencia industrial (explica picos de RAEEs, metales, RCD).</w:t>
      </w:r>
    </w:p>
    <w:p>
      <w:pPr>
        <w:pStyle w:val="Compact"/>
        <w:numPr>
          <w:ilvl w:val="0"/>
          <w:numId w:val="1013"/>
        </w:numPr>
        <w:spacing w:after="50"/>
        <w:widowControl w:val="1"/>
      </w:pPr>
      <w:r>
        <w:rPr>
          <w:rFonts w:ascii="Arial" w:hAnsi="Arial" w:eastAsia="Arial"/>
          <w:color w:val="263238"/>
          <w:sz w:val="18"/>
        </w:rPr>
        <w:t xml:space="preserve">Turismo por comarca (Costa Vasca, Urdaibai): explica la estacionalidad del servicio de playas.</w:t>
      </w:r>
    </w:p>
    <w:p>
      <w:pPr>
        <w:pStyle w:val="FirstParagraph"/>
        <w:widowControl w:val="1"/>
      </w:pPr>
      <w:r>
        <w:rPr>
          <w:rFonts w:ascii="Arial" w:hAnsi="Arial" w:eastAsia="Arial"/>
          <w:b/>
          <w:bCs/>
          <w:color w:val="263238"/>
          <w:sz w:val="19"/>
        </w:rPr>
        <w:t xml:space="preserve">Usos en el piloto:</w:t>
      </w:r>
    </w:p>
    <w:p>
      <w:pPr>
        <w:pStyle w:val="Compact"/>
        <w:numPr>
          <w:ilvl w:val="0"/>
          <w:numId w:val="1014"/>
        </w:numPr>
        <w:spacing w:after="50"/>
        <w:widowControl w:val="1"/>
      </w:pPr>
      <w:r>
        <w:rPr>
          <w:rFonts w:ascii="Arial" w:hAnsi="Arial" w:eastAsia="Arial"/>
          <w:color w:val="263238"/>
          <w:sz w:val="18"/>
        </w:rPr>
        <w:t xml:space="preserve">Normalizar el volumen de transportes y entradas en kg/habitante para hacer comparables los garbigunes.</w:t>
      </w:r>
    </w:p>
    <w:p>
      <w:pPr>
        <w:pStyle w:val="Compact"/>
        <w:numPr>
          <w:ilvl w:val="0"/>
          <w:numId w:val="1014"/>
        </w:numPr>
        <w:spacing w:after="50"/>
        <w:widowControl w:val="1"/>
      </w:pPr>
      <w:r>
        <w:rPr>
          <w:rFonts w:ascii="Arial" w:hAnsi="Arial" w:eastAsia="Arial"/>
          <w:color w:val="263238"/>
          <w:sz w:val="18"/>
        </w:rPr>
        <w:t xml:space="preserve">Modelar la estacionalidad de la demanda incorporando el factor turístico.</w:t>
      </w:r>
    </w:p>
    <w:p>
      <w:pPr>
        <w:pStyle w:val="FirstParagraph"/>
        <w:widowControl w:val="1"/>
      </w:pPr>
      <w:r>
        <w:rPr>
          <w:rFonts w:ascii="Arial" w:hAnsi="Arial" w:eastAsia="Arial"/>
          <w:b/>
          <w:bCs/>
          <w:color w:val="263238"/>
          <w:sz w:val="19"/>
        </w:rPr>
        <w:t xml:space="preserve">Esfuerzo:</w:t>
      </w:r>
      <w:r>
        <w:rPr>
          <w:rFonts w:ascii="Arial" w:hAnsi="Arial" w:eastAsia="Arial"/>
          <w:color w:val="263238"/>
          <w:sz w:val="19"/>
        </w:rPr>
        <w:t xml:space="preserve"> </w:t>
      </w:r>
      <w:r>
        <w:rPr>
          <w:rFonts w:ascii="Arial" w:hAnsi="Arial" w:eastAsia="Arial"/>
          <w:color w:val="263238"/>
          <w:sz w:val="19"/>
        </w:rPr>
        <w:t xml:space="preserve">½ día. API documentada con datos en JSON/XML.</w:t>
      </w:r>
    </w:p>
    <w:p>
      <w:pPr>
        <w:pBdr>
          <w:bottom w:val="single" w:sz="6" w:space="3" w:color="8EA3A7"/>
        </w:pBdr>
        <w:spacing w:before="40" w:after="0" w:line="192" w:lineRule="auto"/>
        <w:widowControl w:val="1"/>
      </w:pPr>
    </w:p>
    <w:bookmarkEnd w:id="40"/>
    <w:bookmarkStart w:id="43" w:name="X141c399248a5b8dc15c4088d5fccf878a64ee91"/>
    <w:p>
      <w:pPr>
        <w:pStyle w:val="Heading3"/>
        <w:keepNext/>
        <w:pageBreakBefore w:val="0"/>
        <w:widowControl w:val="1"/>
      </w:pPr>
      <w:r>
        <w:t xml:space="preserve">2.4 CNMC / CORES — Precios históricos de combustible</w:t>
      </w:r>
    </w:p>
    <w:p>
      <w:pPr>
        <w:pStyle w:val="FirstParagraph"/>
        <w:widowControl w:val="1"/>
      </w:pPr>
      <w:r>
        <w:rPr>
          <w:rFonts w:ascii="Arial" w:hAnsi="Arial" w:eastAsia="Arial"/>
          <w:b/>
          <w:bCs/>
          <w:color w:val="263238"/>
          <w:sz w:val="19"/>
        </w:rPr>
        <w:t xml:space="preserve">URL:</w:t>
      </w:r>
      <w:r>
        <w:rPr>
          <w:rFonts w:ascii="Arial" w:hAnsi="Arial" w:eastAsia="Arial"/>
          <w:color w:val="263238"/>
          <w:sz w:val="19"/>
        </w:rPr>
        <w:t xml:space="preserve"> </w:t>
      </w:r>
      <w:hyperlink r:id="rId41">
        <w:r>
          <w:rPr>
            <w:rStyle w:val="Hyperlink"/>
          </w:rPr>
          <w:t xml:space="preserve">https://geoportalgasolineras.es</w:t>
        </w:r>
      </w:hyperlink>
      <w:r>
        <w:rPr>
          <w:rFonts w:ascii="Arial" w:hAnsi="Arial" w:eastAsia="Arial"/>
          <w:color w:val="263238"/>
          <w:sz w:val="19"/>
        </w:rPr>
        <w:t xml:space="preserve"> </w:t>
      </w:r>
      <w:r>
        <w:rPr>
          <w:rFonts w:ascii="Arial" w:hAnsi="Arial" w:eastAsia="Arial"/>
          <w:color w:val="263238"/>
          <w:sz w:val="19"/>
        </w:rPr>
        <w:t xml:space="preserve">/</w:t>
      </w:r>
      <w:r>
        <w:rPr>
          <w:rFonts w:ascii="Arial" w:hAnsi="Arial" w:eastAsia="Arial"/>
          <w:color w:val="263238"/>
          <w:sz w:val="19"/>
        </w:rPr>
        <w:t xml:space="preserve"> </w:t>
      </w:r>
      <w:hyperlink r:id="rId42">
        <w:r>
          <w:rPr>
            <w:rStyle w:val="Hyperlink"/>
          </w:rPr>
          <w:t xml:space="preserve">https://www.cores.es</w:t>
        </w:r>
      </w:hyperlink>
      <w:r>
        <w:rPr>
          <w:rFonts w:ascii="Arial" w:hAnsi="Arial" w:eastAsia="Arial"/>
          <w:color w:val="263238"/>
          <w:sz w:val="19"/>
        </w:rPr>
        <w:br/>
      </w:r>
      <w:r>
        <w:rPr>
          <w:rFonts w:ascii="Arial" w:hAnsi="Arial" w:eastAsia="Arial"/>
          <w:b/>
          <w:bCs/>
          <w:color w:val="263238"/>
          <w:sz w:val="19"/>
        </w:rPr>
        <w:t xml:space="preserve">Tipo de acceso:</w:t>
      </w:r>
      <w:r>
        <w:rPr>
          <w:rFonts w:ascii="Arial" w:hAnsi="Arial" w:eastAsia="Arial"/>
          <w:color w:val="263238"/>
          <w:sz w:val="19"/>
        </w:rPr>
        <w:t xml:space="preserve"> </w:t>
      </w:r>
      <w:r>
        <w:rPr>
          <w:rFonts w:ascii="Arial" w:hAnsi="Arial" w:eastAsia="Arial"/>
          <w:color w:val="263238"/>
          <w:sz w:val="19"/>
        </w:rPr>
        <w:t xml:space="preserve">API REST gratuita + Excel mensual CORES</w:t>
      </w:r>
    </w:p>
    <w:p>
      <w:pPr>
        <w:pStyle w:val="BodyText"/>
        <w:widowControl w:val="1"/>
      </w:pPr>
      <w:r>
        <w:rPr>
          <w:rFonts w:ascii="Arial" w:hAnsi="Arial" w:eastAsia="Arial"/>
          <w:b/>
          <w:bCs/>
          <w:color w:val="263238"/>
          <w:sz w:val="19"/>
        </w:rPr>
        <w:t xml:space="preserve">Por qué es necesario:</w:t>
      </w:r>
      <w:r>
        <w:rPr>
          <w:rFonts w:ascii="Arial" w:hAnsi="Arial" w:eastAsia="Arial"/>
          <w:color w:val="263238"/>
          <w:sz w:val="19"/>
        </w:rPr>
        <w:t xml:space="preserve"> </w:t>
      </w:r>
      <w:r>
        <w:rPr>
          <w:rFonts w:ascii="Arial" w:hAnsi="Arial" w:eastAsia="Arial"/>
          <w:color w:val="263238"/>
          <w:sz w:val="19"/>
        </w:rPr>
        <w:t xml:space="preserve">El combustible es uno de los principales costes variables del servicio, y la flota mezcla vehículos GNC y diesel. Sin los precios históricos no se puede calcular el coste real de cada transporte ni cuantificar el ahorro real de los vehículos de gas.</w:t>
      </w:r>
    </w:p>
    <w:p>
      <w:pPr>
        <w:pStyle w:val="BodyText"/>
        <w:widowControl w:val="1"/>
      </w:pPr>
      <w:r>
        <w:rPr>
          <w:rFonts w:ascii="Arial" w:hAnsi="Arial" w:eastAsia="Arial"/>
          <w:b/>
          <w:bCs/>
          <w:color w:val="263238"/>
          <w:sz w:val="19"/>
        </w:rPr>
        <w:t xml:space="preserve">Qué se extrae:</w:t>
      </w:r>
    </w:p>
    <w:p>
      <w:pPr>
        <w:pStyle w:val="Compact"/>
        <w:numPr>
          <w:ilvl w:val="0"/>
          <w:numId w:val="1015"/>
        </w:numPr>
        <w:spacing w:after="50"/>
        <w:widowControl w:val="1"/>
      </w:pPr>
      <w:r>
        <w:rPr>
          <w:rFonts w:ascii="Arial" w:hAnsi="Arial" w:eastAsia="Arial"/>
          <w:color w:val="263238"/>
          <w:sz w:val="18"/>
        </w:rPr>
        <w:t xml:space="preserve">Precio del GNC y del diesel en las estaciones de Bizkaia, mes a mes desde 2023.</w:t>
      </w:r>
    </w:p>
    <w:p>
      <w:pPr>
        <w:pStyle w:val="Compact"/>
        <w:numPr>
          <w:ilvl w:val="0"/>
          <w:numId w:val="1015"/>
        </w:numPr>
        <w:spacing w:after="50"/>
        <w:widowControl w:val="1"/>
      </w:pPr>
      <w:r>
        <w:rPr>
          <w:rFonts w:ascii="Arial" w:hAnsi="Arial" w:eastAsia="Arial"/>
          <w:color w:val="263238"/>
          <w:sz w:val="18"/>
        </w:rPr>
        <w:t xml:space="preserve">Permite reconstruir el coste de combustible de cada transporte cruzando matrícula (combustible) + fecha + precio en vigor.</w:t>
      </w:r>
    </w:p>
    <w:p>
      <w:pPr>
        <w:pStyle w:val="FirstParagraph"/>
        <w:widowControl w:val="1"/>
      </w:pPr>
      <w:r>
        <w:rPr>
          <w:rFonts w:ascii="Arial" w:hAnsi="Arial" w:eastAsia="Arial"/>
          <w:b/>
          <w:bCs/>
          <w:color w:val="263238"/>
          <w:sz w:val="19"/>
        </w:rPr>
        <w:t xml:space="preserve">Usos en el piloto:</w:t>
      </w:r>
    </w:p>
    <w:p>
      <w:pPr>
        <w:pStyle w:val="Compact"/>
        <w:numPr>
          <w:ilvl w:val="0"/>
          <w:numId w:val="1016"/>
        </w:numPr>
        <w:spacing w:after="50"/>
        <w:widowControl w:val="1"/>
      </w:pPr>
      <w:r>
        <w:rPr>
          <w:rFonts w:ascii="Arial" w:hAnsi="Arial" w:eastAsia="Arial"/>
          <w:color w:val="263238"/>
          <w:sz w:val="18"/>
        </w:rPr>
        <w:t xml:space="preserve">Construir el componente de combustible del coste variable por transporte.</w:t>
      </w:r>
    </w:p>
    <w:p>
      <w:pPr>
        <w:pStyle w:val="Compact"/>
        <w:numPr>
          <w:ilvl w:val="0"/>
          <w:numId w:val="1016"/>
        </w:numPr>
        <w:spacing w:after="50"/>
        <w:widowControl w:val="1"/>
      </w:pPr>
      <w:r>
        <w:rPr>
          <w:rFonts w:ascii="Arial" w:hAnsi="Arial" w:eastAsia="Arial"/>
          <w:color w:val="263238"/>
          <w:sz w:val="18"/>
        </w:rPr>
        <w:t xml:space="preserve">Calcular el ahorro acumulado de la flota GNC frente a un escenario 100% diesel.</w:t>
      </w:r>
    </w:p>
    <w:p>
      <w:pPr>
        <w:pStyle w:val="Compact"/>
        <w:numPr>
          <w:ilvl w:val="0"/>
          <w:numId w:val="1016"/>
        </w:numPr>
        <w:spacing w:after="50"/>
        <w:widowControl w:val="1"/>
      </w:pPr>
      <w:r>
        <w:rPr>
          <w:rFonts w:ascii="Arial" w:hAnsi="Arial" w:eastAsia="Arial"/>
          <w:color w:val="263238"/>
          <w:sz w:val="18"/>
        </w:rPr>
        <w:t xml:space="preserve">Incluir la volatilidad del precio del GNC en el análisis de costes operativos.</w:t>
      </w:r>
    </w:p>
    <w:p>
      <w:pPr>
        <w:pStyle w:val="FirstParagraph"/>
        <w:widowControl w:val="1"/>
      </w:pPr>
      <w:r>
        <w:rPr>
          <w:rFonts w:ascii="Arial" w:hAnsi="Arial" w:eastAsia="Arial"/>
          <w:b/>
          <w:bCs/>
          <w:color w:val="263238"/>
          <w:sz w:val="19"/>
        </w:rPr>
        <w:t xml:space="preserve">Esfuerzo:</w:t>
      </w:r>
      <w:r>
        <w:rPr>
          <w:rFonts w:ascii="Arial" w:hAnsi="Arial" w:eastAsia="Arial"/>
          <w:color w:val="263238"/>
          <w:sz w:val="19"/>
        </w:rPr>
        <w:t xml:space="preserve"> </w:t>
      </w:r>
      <w:r>
        <w:rPr>
          <w:rFonts w:ascii="Arial" w:hAnsi="Arial" w:eastAsia="Arial"/>
          <w:color w:val="263238"/>
          <w:sz w:val="19"/>
        </w:rPr>
        <w:t xml:space="preserve">½ día. Precios actuales vía API; histórico reconstruible desde publicaciones mensuales Excel de CORES.</w:t>
      </w:r>
    </w:p>
    <w:p>
      <w:pPr>
        <w:pBdr>
          <w:bottom w:val="single" w:sz="6" w:space="3" w:color="8EA3A7"/>
        </w:pBdr>
        <w:spacing w:before="40" w:after="0" w:line="192" w:lineRule="auto"/>
        <w:widowControl w:val="1"/>
      </w:pPr>
    </w:p>
    <w:bookmarkEnd w:id="43"/>
    <w:bookmarkStart w:id="45" w:name="X4366fde846fbcc8c1581b0d508bede69a6050d4"/>
    <w:p>
      <w:pPr>
        <w:pStyle w:val="Heading3"/>
        <w:keepNext/>
        <w:pageBreakBefore w:val="0"/>
        <w:widowControl w:val="1"/>
      </w:pPr>
      <w:r>
        <w:t xml:space="preserve">2.5 Diputación Foral de Bizkaia — Cartografía municipal</w:t>
      </w:r>
    </w:p>
    <w:p>
      <w:pPr>
        <w:pStyle w:val="FirstParagraph"/>
        <w:widowControl w:val="1"/>
      </w:pPr>
      <w:r>
        <w:rPr>
          <w:rFonts w:ascii="Arial" w:hAnsi="Arial" w:eastAsia="Arial"/>
          <w:b/>
          <w:bCs/>
          <w:color w:val="263238"/>
          <w:sz w:val="19"/>
        </w:rPr>
        <w:t xml:space="preserve">URL:</w:t>
      </w:r>
      <w:r>
        <w:rPr>
          <w:rFonts w:ascii="Arial" w:hAnsi="Arial" w:eastAsia="Arial"/>
          <w:color w:val="263238"/>
          <w:sz w:val="19"/>
        </w:rPr>
        <w:t xml:space="preserve"> </w:t>
      </w:r>
      <w:hyperlink r:id="rId44">
        <w:r>
          <w:rPr>
            <w:rStyle w:val="Hyperlink"/>
          </w:rPr>
          <w:t xml:space="preserve">https://www.bizkaia.eus</w:t>
        </w:r>
      </w:hyperlink>
      <w:r>
        <w:rPr>
          <w:rFonts w:ascii="Arial" w:hAnsi="Arial" w:eastAsia="Arial"/>
          <w:color w:val="263238"/>
          <w:sz w:val="19"/>
        </w:rPr>
        <w:t xml:space="preserve"> </w:t>
      </w:r>
      <w:r>
        <w:rPr>
          <w:rFonts w:ascii="Arial" w:hAnsi="Arial" w:eastAsia="Arial"/>
          <w:color w:val="263238"/>
          <w:sz w:val="19"/>
        </w:rPr>
        <w:t xml:space="preserve">(IDE Bizkaia)</w:t>
      </w:r>
      <w:r>
        <w:rPr>
          <w:rFonts w:ascii="Arial" w:hAnsi="Arial" w:eastAsia="Arial"/>
          <w:color w:val="263238"/>
          <w:sz w:val="19"/>
        </w:rPr>
        <w:br/>
      </w:r>
      <w:r>
        <w:rPr>
          <w:rFonts w:ascii="Arial" w:hAnsi="Arial" w:eastAsia="Arial"/>
          <w:b/>
          <w:bCs/>
          <w:color w:val="263238"/>
          <w:sz w:val="19"/>
        </w:rPr>
        <w:t xml:space="preserve">Tipo de acceso:</w:t>
      </w:r>
      <w:r>
        <w:rPr>
          <w:rFonts w:ascii="Arial" w:hAnsi="Arial" w:eastAsia="Arial"/>
          <w:color w:val="263238"/>
          <w:sz w:val="19"/>
        </w:rPr>
        <w:t xml:space="preserve"> </w:t>
      </w:r>
      <w:r>
        <w:rPr>
          <w:rFonts w:ascii="Arial" w:hAnsi="Arial" w:eastAsia="Arial"/>
          <w:color w:val="263238"/>
          <w:sz w:val="19"/>
        </w:rPr>
        <w:t xml:space="preserve">Descarga directa GeoJSON/Shapefile</w:t>
      </w:r>
    </w:p>
    <w:p>
      <w:pPr>
        <w:pStyle w:val="BodyText"/>
        <w:widowControl w:val="1"/>
      </w:pPr>
      <w:r>
        <w:rPr>
          <w:rFonts w:ascii="Arial" w:hAnsi="Arial" w:eastAsia="Arial"/>
          <w:b/>
          <w:bCs/>
          <w:color w:val="263238"/>
          <w:sz w:val="19"/>
        </w:rPr>
        <w:t xml:space="preserve">Por qué es necesario:</w:t>
      </w:r>
      <w:r>
        <w:rPr>
          <w:rFonts w:ascii="Arial" w:hAnsi="Arial" w:eastAsia="Arial"/>
          <w:color w:val="263238"/>
          <w:sz w:val="19"/>
        </w:rPr>
        <w:t xml:space="preserve"> </w:t>
      </w:r>
      <w:r>
        <w:rPr>
          <w:rFonts w:ascii="Arial" w:hAnsi="Arial" w:eastAsia="Arial"/>
          <w:color w:val="263238"/>
          <w:sz w:val="19"/>
        </w:rPr>
        <w:t xml:space="preserve">Para proponer reasignaciones de municipios a garbigunes o cambios en rutas de transporte, necesitamos la geometría oficial de los municipios de Bizkaia y su red viaria.</w:t>
      </w:r>
    </w:p>
    <w:p>
      <w:pPr>
        <w:pStyle w:val="BodyText"/>
        <w:widowControl w:val="1"/>
      </w:pPr>
      <w:r>
        <w:rPr>
          <w:rFonts w:ascii="Arial" w:hAnsi="Arial" w:eastAsia="Arial"/>
          <w:b/>
          <w:bCs/>
          <w:color w:val="263238"/>
          <w:sz w:val="19"/>
        </w:rPr>
        <w:t xml:space="preserve">Qué se extrae:</w:t>
      </w:r>
    </w:p>
    <w:p>
      <w:pPr>
        <w:pStyle w:val="Compact"/>
        <w:numPr>
          <w:ilvl w:val="0"/>
          <w:numId w:val="1017"/>
        </w:numPr>
        <w:spacing w:after="50"/>
        <w:widowControl w:val="1"/>
      </w:pPr>
      <w:r>
        <w:rPr>
          <w:rFonts w:ascii="Arial" w:hAnsi="Arial" w:eastAsia="Arial"/>
          <w:color w:val="263238"/>
          <w:sz w:val="18"/>
        </w:rPr>
        <w:t xml:space="preserve">Polígonos oficiales de los 112 municipios de Bizkaia.</w:t>
      </w:r>
    </w:p>
    <w:p>
      <w:pPr>
        <w:pStyle w:val="Compact"/>
        <w:numPr>
          <w:ilvl w:val="0"/>
          <w:numId w:val="1017"/>
        </w:numPr>
        <w:spacing w:after="50"/>
        <w:widowControl w:val="1"/>
      </w:pPr>
      <w:r>
        <w:rPr>
          <w:rFonts w:ascii="Arial" w:hAnsi="Arial" w:eastAsia="Arial"/>
          <w:color w:val="263238"/>
          <w:sz w:val="18"/>
        </w:rPr>
        <w:t xml:space="preserve">Red viaria clasificada.</w:t>
      </w:r>
    </w:p>
    <w:p>
      <w:pPr>
        <w:pStyle w:val="Compact"/>
        <w:numPr>
          <w:ilvl w:val="0"/>
          <w:numId w:val="1017"/>
        </w:numPr>
        <w:spacing w:after="50"/>
        <w:widowControl w:val="1"/>
      </w:pPr>
      <w:r>
        <w:rPr>
          <w:rFonts w:ascii="Arial" w:hAnsi="Arial" w:eastAsia="Arial"/>
          <w:color w:val="263238"/>
          <w:sz w:val="18"/>
        </w:rPr>
        <w:t xml:space="preserve">Listado oficial de municipios con código INE: clave para normalizar nombres entre fuentes (Actais Waste, EUSTAT, IHOBE usan variantes distintas).</w:t>
      </w:r>
    </w:p>
    <w:p>
      <w:pPr>
        <w:pStyle w:val="FirstParagraph"/>
        <w:widowControl w:val="1"/>
      </w:pPr>
      <w:r>
        <w:rPr>
          <w:rFonts w:ascii="Arial" w:hAnsi="Arial" w:eastAsia="Arial"/>
          <w:b/>
          <w:bCs/>
          <w:color w:val="263238"/>
          <w:sz w:val="19"/>
        </w:rPr>
        <w:t xml:space="preserve">Usos en el piloto:</w:t>
      </w:r>
    </w:p>
    <w:p>
      <w:pPr>
        <w:pStyle w:val="Compact"/>
        <w:numPr>
          <w:ilvl w:val="0"/>
          <w:numId w:val="1018"/>
        </w:numPr>
        <w:spacing w:after="50"/>
        <w:widowControl w:val="1"/>
      </w:pPr>
      <w:r>
        <w:rPr>
          <w:rFonts w:ascii="Arial" w:hAnsi="Arial" w:eastAsia="Arial"/>
          <w:color w:val="263238"/>
          <w:sz w:val="18"/>
        </w:rPr>
        <w:t xml:space="preserve">Base del análisis geoespacial: visualizar qué municipios dependen de qué garbigune y cuál es la distancia real.</w:t>
      </w:r>
    </w:p>
    <w:p>
      <w:pPr>
        <w:pStyle w:val="Compact"/>
        <w:numPr>
          <w:ilvl w:val="0"/>
          <w:numId w:val="1018"/>
        </w:numPr>
        <w:spacing w:after="50"/>
        <w:widowControl w:val="1"/>
      </w:pPr>
      <w:r>
        <w:rPr>
          <w:rFonts w:ascii="Arial" w:hAnsi="Arial" w:eastAsia="Arial"/>
          <w:color w:val="263238"/>
          <w:sz w:val="18"/>
        </w:rPr>
        <w:t xml:space="preserve">Detectar municipios asignados a garbigunes no óptimos por distancia o accesibilidad.</w:t>
      </w:r>
    </w:p>
    <w:p>
      <w:pPr>
        <w:pStyle w:val="Compact"/>
        <w:numPr>
          <w:ilvl w:val="0"/>
          <w:numId w:val="1018"/>
        </w:numPr>
        <w:spacing w:after="50"/>
        <w:widowControl w:val="1"/>
      </w:pPr>
      <w:r>
        <w:rPr>
          <w:rFonts w:ascii="Arial" w:hAnsi="Arial" w:eastAsia="Arial"/>
          <w:color w:val="263238"/>
          <w:sz w:val="18"/>
        </w:rPr>
        <w:t xml:space="preserve">Normalizar el campo</w:t>
      </w:r>
      <w:r>
        <w:rPr>
          <w:rFonts w:ascii="Arial" w:hAnsi="Arial" w:eastAsia="Arial"/>
          <w:color w:val="263238"/>
          <w:sz w:val="18"/>
        </w:rPr>
        <w:t xml:space="preserve"> </w:t>
      </w:r>
      <w:r>
        <w:rPr>
          <w:rStyle w:val="VerbatimChar"/>
          <w:rFonts w:ascii="Arial" w:hAnsi="Arial" w:eastAsia="Arial"/>
          <w:color w:val="263238"/>
          <w:sz w:val="18"/>
        </w:rPr>
        <w:t xml:space="preserve">municipio</w:t>
      </w:r>
      <w:r>
        <w:rPr>
          <w:rFonts w:ascii="Arial" w:hAnsi="Arial" w:eastAsia="Arial"/>
          <w:color w:val="263238"/>
          <w:sz w:val="18"/>
        </w:rPr>
        <w:t xml:space="preserve"> </w:t>
      </w:r>
      <w:r>
        <w:rPr>
          <w:rFonts w:ascii="Arial" w:hAnsi="Arial" w:eastAsia="Arial"/>
          <w:color w:val="263238"/>
          <w:sz w:val="18"/>
        </w:rPr>
        <w:t xml:space="preserve">en todos los ficheros internos usando el código INE como clave.</w:t>
      </w:r>
    </w:p>
    <w:p>
      <w:pPr>
        <w:pStyle w:val="FirstParagraph"/>
        <w:widowControl w:val="1"/>
      </w:pPr>
      <w:r>
        <w:rPr>
          <w:rFonts w:ascii="Arial" w:hAnsi="Arial" w:eastAsia="Arial"/>
          <w:b/>
          <w:bCs/>
          <w:color w:val="263238"/>
          <w:sz w:val="19"/>
        </w:rPr>
        <w:t xml:space="preserve">Esfuerzo:</w:t>
      </w:r>
      <w:r>
        <w:rPr>
          <w:rFonts w:ascii="Arial" w:hAnsi="Arial" w:eastAsia="Arial"/>
          <w:color w:val="263238"/>
          <w:sz w:val="19"/>
        </w:rPr>
        <w:t xml:space="preserve"> </w:t>
      </w:r>
      <w:r>
        <w:rPr>
          <w:rFonts w:ascii="Arial" w:hAnsi="Arial" w:eastAsia="Arial"/>
          <w:color w:val="263238"/>
          <w:sz w:val="19"/>
        </w:rPr>
        <w:t xml:space="preserve">½ día. Descarga única. Requiere GeoPandas para procesar geometría.</w:t>
      </w:r>
    </w:p>
    <w:p>
      <w:pPr>
        <w:pBdr>
          <w:bottom w:val="single" w:sz="6" w:space="3" w:color="8EA3A7"/>
        </w:pBdr>
        <w:spacing w:before="40" w:after="0" w:line="192" w:lineRule="auto"/>
        <w:widowControl w:val="1"/>
      </w:pPr>
    </w:p>
    <w:bookmarkEnd w:id="45"/>
    <w:bookmarkEnd w:id="46"/>
    <w:bookmarkStart w:id="47" w:name="X805152dcb917a14be4959ea6d91730d03587522"/>
    <w:p>
      <w:pPr>
        <w:pStyle w:val="Heading2"/>
        <w:keepNext/>
        <w:pageBreakBefore w:val="0"/>
        <w:widowControl w:val="1"/>
      </w:pPr>
      <w:r>
        <w:t xml:space="preserve">3. Resumen del scope de integración</w:t>
      </w:r>
    </w:p>
    <w:tbl>
      <w:tblPr>
        <w:tblStyle w:val="Table"/>
        <w:tblW w:type="auto" w:w="0"/>
        <w:jc w:val="center"/>
        <w:tblLayout w:type="fixed"/>
        <w:tblLook w:firstRow="1" w:lastRow="0" w:firstColumn="0" w:lastColumn="0" w:noHBand="0" w:noVBand="0" w:val="0020"/>
        <w:tblBorders>
          <w:top w:val="single" w:sz="4" w:space="0" w:color="A9BCC0"/>
          <w:left w:val="single" w:sz="4" w:space="0" w:color="A9BCC0"/>
          <w:bottom w:val="single" w:sz="4" w:space="0" w:color="A9BCC0"/>
          <w:right w:val="single" w:sz="4" w:space="0" w:color="A9BCC0"/>
          <w:insideH w:val="single" w:sz="4" w:space="0" w:color="A9BCC0"/>
          <w:insideV w:val="single" w:sz="4" w:space="0" w:color="A9BCC0"/>
        </w:tblBorders>
      </w:tblPr>
      <w:tblGrid>
        <w:gridCol w:w="1584"/>
        <w:gridCol w:w="1584"/>
        <w:gridCol w:w="1584"/>
        <w:gridCol w:w="1584"/>
        <w:gridCol w:w="1584"/>
      </w:tblGrid>
      <w:tr>
        <w:trPr>
          <w:tblHeader w:val="true"/>
        </w:trPr>
        <w:tc>
          <w:tcPr>
            <w:tcW w:type="dxa" w:w="973"/>
            <w:vAlign w:val="center"/>
            <w:tcMar>
              <w:top w:w="80" w:type="dxa"/>
              <w:start w:w="90" w:type="dxa"/>
              <w:bottom w:w="80" w:type="dxa"/>
              <w:end w:w="90" w:type="dxa"/>
            </w:tcMar>
            <w:shd w:fill="185C61"/>
          </w:tcPr>
          <w:p>
            <w:pPr>
              <w:pStyle w:val="Compact"/>
              <w:keepLines w:val="0"/>
              <w:spacing w:after="0" w:before="0" w:line="240" w:lineRule="auto"/>
              <w:jc w:val="left"/>
            </w:pPr>
            <w:r>
              <w:rPr>
                <w:rFonts w:ascii="Arial" w:hAnsi="Arial" w:eastAsia="Arial"/>
                <w:b/>
                <w:color w:val="FFFFFF"/>
                <w:sz w:val="16"/>
              </w:rPr>
              <w:t xml:space="preserve">#</w:t>
            </w:r>
          </w:p>
        </w:tc>
        <w:tc>
          <w:tcPr>
            <w:tcW w:type="dxa" w:w="4684"/>
            <w:vAlign w:val="center"/>
            <w:tcMar>
              <w:top w:w="80" w:type="dxa"/>
              <w:start w:w="90" w:type="dxa"/>
              <w:bottom w:w="80" w:type="dxa"/>
              <w:end w:w="90" w:type="dxa"/>
            </w:tcMar>
            <w:shd w:fill="185C61"/>
          </w:tcPr>
          <w:p>
            <w:pPr>
              <w:pStyle w:val="Compact"/>
              <w:keepLines w:val="0"/>
              <w:spacing w:after="0" w:before="0" w:line="240" w:lineRule="auto"/>
              <w:jc w:val="left"/>
            </w:pPr>
            <w:r>
              <w:rPr>
                <w:rFonts w:ascii="Arial" w:hAnsi="Arial" w:eastAsia="Arial"/>
                <w:b/>
                <w:color w:val="FFFFFF"/>
                <w:sz w:val="16"/>
              </w:rPr>
              <w:t xml:space="preserve">Fuente</w:t>
            </w:r>
          </w:p>
        </w:tc>
        <w:tc>
          <w:tcPr>
            <w:tcW w:type="dxa" w:w="973"/>
            <w:vAlign w:val="center"/>
            <w:tcMar>
              <w:top w:w="80" w:type="dxa"/>
              <w:start w:w="90" w:type="dxa"/>
              <w:bottom w:w="80" w:type="dxa"/>
              <w:end w:w="90" w:type="dxa"/>
            </w:tcMar>
            <w:shd w:fill="185C61"/>
          </w:tcPr>
          <w:p>
            <w:pPr>
              <w:pStyle w:val="Compact"/>
              <w:keepLines w:val="0"/>
              <w:spacing w:after="0" w:before="0" w:line="240" w:lineRule="auto"/>
              <w:jc w:val="left"/>
            </w:pPr>
            <w:r>
              <w:rPr>
                <w:rFonts w:ascii="Arial" w:hAnsi="Arial" w:eastAsia="Arial"/>
                <w:b/>
                <w:color w:val="FFFFFF"/>
                <w:sz w:val="16"/>
              </w:rPr>
              <w:t xml:space="preserve">Piloto</w:t>
            </w:r>
          </w:p>
        </w:tc>
        <w:tc>
          <w:tcPr>
            <w:tcW w:type="dxa" w:w="2433"/>
            <w:vAlign w:val="center"/>
            <w:tcMar>
              <w:top w:w="80" w:type="dxa"/>
              <w:start w:w="90" w:type="dxa"/>
              <w:bottom w:w="80" w:type="dxa"/>
              <w:end w:w="90" w:type="dxa"/>
            </w:tcMar>
            <w:shd w:fill="185C61"/>
          </w:tcPr>
          <w:p>
            <w:pPr>
              <w:pStyle w:val="Compact"/>
              <w:keepLines w:val="0"/>
              <w:spacing w:after="0" w:before="0" w:line="240" w:lineRule="auto"/>
              <w:jc w:val="left"/>
            </w:pPr>
            <w:r>
              <w:rPr>
                <w:rFonts w:ascii="Arial" w:hAnsi="Arial" w:eastAsia="Arial"/>
                <w:b/>
                <w:color w:val="FFFFFF"/>
                <w:sz w:val="16"/>
              </w:rPr>
              <w:t xml:space="preserve">Tipo de acceso</w:t>
            </w:r>
          </w:p>
        </w:tc>
        <w:tc>
          <w:tcPr>
            <w:tcW w:type="dxa" w:w="973"/>
            <w:vAlign w:val="center"/>
            <w:tcMar>
              <w:top w:w="80" w:type="dxa"/>
              <w:start w:w="90" w:type="dxa"/>
              <w:bottom w:w="80" w:type="dxa"/>
              <w:end w:w="90" w:type="dxa"/>
            </w:tcMar>
            <w:shd w:fill="185C61"/>
          </w:tcPr>
          <w:p>
            <w:pPr>
              <w:pStyle w:val="Compact"/>
              <w:keepLines w:val="0"/>
              <w:spacing w:after="0" w:before="0" w:line="240" w:lineRule="auto"/>
              <w:jc w:val="left"/>
            </w:pPr>
            <w:r>
              <w:rPr>
                <w:rFonts w:ascii="Arial" w:hAnsi="Arial" w:eastAsia="Arial"/>
                <w:b/>
                <w:color w:val="FFFFFF"/>
                <w:sz w:val="16"/>
              </w:rPr>
              <w:t xml:space="preserve">Esfuerzo</w:t>
            </w:r>
          </w:p>
        </w:tc>
      </w:tr>
      <w:tr>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1</w:t>
            </w:r>
          </w:p>
        </w:tc>
        <w:tc>
          <w:tcPr>
            <w:tcW w:type="dxa" w:w="4684"/>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BOPV (convenio colectivo + calendario laboral)</w:t>
            </w:r>
          </w:p>
        </w:tc>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A</w:t>
            </w:r>
          </w:p>
        </w:tc>
        <w:tc>
          <w:tcPr>
            <w:tcW w:type="dxa" w:w="243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Descarga manual PDF/Excel</w:t>
            </w:r>
          </w:p>
        </w:tc>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½ día</w:t>
            </w:r>
          </w:p>
        </w:tc>
      </w:tr>
      <w:tr>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2</w:t>
            </w:r>
          </w:p>
        </w:tc>
        <w:tc>
          <w:tcPr>
            <w:tcW w:type="dxa" w:w="4684"/>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AEMET (meteorología histórica Bizkaia)</w:t>
            </w:r>
          </w:p>
        </w:tc>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A</w:t>
            </w:r>
          </w:p>
        </w:tc>
        <w:tc>
          <w:tcPr>
            <w:tcW w:type="dxa" w:w="243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API REST gratuita</w:t>
            </w:r>
          </w:p>
        </w:tc>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½ día</w:t>
            </w:r>
          </w:p>
        </w:tc>
      </w:tr>
      <w:tr>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3</w:t>
            </w:r>
          </w:p>
        </w:tc>
        <w:tc>
          <w:tcPr>
            <w:tcW w:type="dxa" w:w="4684"/>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Garbiker.eus (horarios de apertura)</w:t>
            </w:r>
          </w:p>
        </w:tc>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A</w:t>
            </w:r>
          </w:p>
        </w:tc>
        <w:tc>
          <w:tcPr>
            <w:tcW w:type="dxa" w:w="243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Scraping Scrapling</w:t>
            </w:r>
          </w:p>
        </w:tc>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½ día</w:t>
            </w:r>
          </w:p>
        </w:tc>
      </w:tr>
      <w:tr>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4</w:t>
            </w:r>
          </w:p>
        </w:tc>
        <w:tc>
          <w:tcPr>
            <w:tcW w:type="dxa" w:w="4684"/>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Google Maps (rutas + fichas + afluencia)</w:t>
            </w:r>
          </w:p>
        </w:tc>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B</w:t>
            </w:r>
          </w:p>
        </w:tc>
        <w:tc>
          <w:tcPr>
            <w:tcW w:type="dxa" w:w="243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Scraping portfolio</w:t>
            </w:r>
          </w:p>
        </w:tc>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1 día</w:t>
            </w:r>
          </w:p>
        </w:tc>
      </w:tr>
      <w:tr>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5</w:t>
            </w:r>
          </w:p>
        </w:tc>
        <w:tc>
          <w:tcPr>
            <w:tcW w:type="dxa" w:w="4684"/>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IHOBE (generación residuos por municipio)</w:t>
            </w:r>
          </w:p>
        </w:tc>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B</w:t>
            </w:r>
          </w:p>
        </w:tc>
        <w:tc>
          <w:tcPr>
            <w:tcW w:type="dxa" w:w="243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Descarga directa Excel</w:t>
            </w:r>
          </w:p>
        </w:tc>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½ día</w:t>
            </w:r>
          </w:p>
        </w:tc>
      </w:tr>
      <w:tr>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6</w:t>
            </w:r>
          </w:p>
        </w:tc>
        <w:tc>
          <w:tcPr>
            <w:tcW w:type="dxa" w:w="4684"/>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EUSTAT (población y actividad económica)</w:t>
            </w:r>
          </w:p>
        </w:tc>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B</w:t>
            </w:r>
          </w:p>
        </w:tc>
        <w:tc>
          <w:tcPr>
            <w:tcW w:type="dxa" w:w="243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API REST gratuita</w:t>
            </w:r>
          </w:p>
        </w:tc>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½ día</w:t>
            </w:r>
          </w:p>
        </w:tc>
      </w:tr>
      <w:tr>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7</w:t>
            </w:r>
          </w:p>
        </w:tc>
        <w:tc>
          <w:tcPr>
            <w:tcW w:type="dxa" w:w="4684"/>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CNMC / CORES (precios combustible)</w:t>
            </w:r>
          </w:p>
        </w:tc>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B</w:t>
            </w:r>
          </w:p>
        </w:tc>
        <w:tc>
          <w:tcPr>
            <w:tcW w:type="dxa" w:w="243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API REST + Excel mensual</w:t>
            </w:r>
          </w:p>
        </w:tc>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color w:val="263238"/>
                <w:sz w:val="16"/>
              </w:rPr>
              <w:t xml:space="preserve">½ día</w:t>
            </w:r>
          </w:p>
        </w:tc>
      </w:tr>
      <w:tr>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8</w:t>
            </w:r>
          </w:p>
        </w:tc>
        <w:tc>
          <w:tcPr>
            <w:tcW w:type="dxa" w:w="4684"/>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Diputación Foral de Bizkaia (GIS municipal)</w:t>
            </w:r>
          </w:p>
        </w:tc>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B</w:t>
            </w:r>
          </w:p>
        </w:tc>
        <w:tc>
          <w:tcPr>
            <w:tcW w:type="dxa" w:w="243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Descarga GeoJSON</w:t>
            </w:r>
          </w:p>
        </w:tc>
        <w:tc>
          <w:tcPr>
            <w:tcW w:type="dxa" w:w="973"/>
            <w:vAlign w:val="top"/>
            <w:tcMar>
              <w:top w:w="80" w:type="dxa"/>
              <w:start w:w="90" w:type="dxa"/>
              <w:bottom w:w="80" w:type="dxa"/>
              <w:end w:w="90" w:type="dxa"/>
            </w:tcMar>
            <w:shd w:fill="F5F8F8"/>
          </w:tcPr>
          <w:p>
            <w:pPr>
              <w:pStyle w:val="Compact"/>
              <w:keepLines w:val="0"/>
              <w:spacing w:after="0" w:before="0" w:line="240" w:lineRule="auto"/>
              <w:jc w:val="left"/>
            </w:pPr>
            <w:r>
              <w:rPr>
                <w:rFonts w:ascii="Arial" w:hAnsi="Arial" w:eastAsia="Arial"/>
                <w:color w:val="263238"/>
                <w:sz w:val="16"/>
              </w:rPr>
              <w:t xml:space="preserve">½ día</w:t>
            </w:r>
          </w:p>
        </w:tc>
      </w:tr>
      <w:tr>
        <w:tc>
          <w:tcPr>
            <w:tcW w:type="dxa" w:w="973"/>
            <w:vAlign w:val="top"/>
            <w:tcMar>
              <w:top w:w="80" w:type="dxa"/>
              <w:start w:w="90" w:type="dxa"/>
              <w:bottom w:w="80" w:type="dxa"/>
              <w:end w:w="90" w:type="dxa"/>
            </w:tcMar>
          </w:tcPr>
          <w:p>
            <w:pPr>
              <w:pStyle w:val="Compact"/>
              <w:keepLines w:val="0"/>
              <w:spacing w:after="0" w:before="0" w:line="240" w:lineRule="auto"/>
            </w:pPr>
          </w:p>
        </w:tc>
        <w:tc>
          <w:tcPr>
            <w:tcW w:type="dxa" w:w="4684"/>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b/>
                <w:bCs/>
                <w:color w:val="263238"/>
                <w:sz w:val="16"/>
              </w:rPr>
              <w:t xml:space="preserve">TOTAL estimado</w:t>
            </w:r>
          </w:p>
        </w:tc>
        <w:tc>
          <w:tcPr>
            <w:tcW w:type="dxa" w:w="973"/>
            <w:vAlign w:val="top"/>
            <w:tcMar>
              <w:top w:w="80" w:type="dxa"/>
              <w:start w:w="90" w:type="dxa"/>
              <w:bottom w:w="80" w:type="dxa"/>
              <w:end w:w="90" w:type="dxa"/>
            </w:tcMar>
          </w:tcPr>
          <w:p>
            <w:pPr>
              <w:pStyle w:val="Compact"/>
              <w:keepLines w:val="0"/>
              <w:spacing w:after="0" w:before="0" w:line="240" w:lineRule="auto"/>
            </w:pPr>
          </w:p>
        </w:tc>
        <w:tc>
          <w:tcPr>
            <w:tcW w:type="dxa" w:w="2433"/>
            <w:vAlign w:val="top"/>
            <w:tcMar>
              <w:top w:w="80" w:type="dxa"/>
              <w:start w:w="90" w:type="dxa"/>
              <w:bottom w:w="80" w:type="dxa"/>
              <w:end w:w="90" w:type="dxa"/>
            </w:tcMar>
          </w:tcPr>
          <w:p>
            <w:pPr>
              <w:pStyle w:val="Compact"/>
              <w:keepLines w:val="0"/>
              <w:spacing w:after="0" w:before="0" w:line="240" w:lineRule="auto"/>
            </w:pPr>
          </w:p>
        </w:tc>
        <w:tc>
          <w:tcPr>
            <w:tcW w:type="dxa" w:w="973"/>
            <w:vAlign w:val="top"/>
            <w:tcMar>
              <w:top w:w="80" w:type="dxa"/>
              <w:start w:w="90" w:type="dxa"/>
              <w:bottom w:w="80" w:type="dxa"/>
              <w:end w:w="90" w:type="dxa"/>
            </w:tcMar>
          </w:tcPr>
          <w:p>
            <w:pPr>
              <w:pStyle w:val="Compact"/>
              <w:keepLines w:val="0"/>
              <w:spacing w:after="0" w:before="0" w:line="240" w:lineRule="auto"/>
              <w:jc w:val="left"/>
            </w:pPr>
            <w:r>
              <w:rPr>
                <w:rFonts w:ascii="Arial" w:hAnsi="Arial" w:eastAsia="Arial"/>
                <w:b/>
                <w:bCs/>
                <w:color w:val="263238"/>
                <w:sz w:val="16"/>
              </w:rPr>
              <w:t xml:space="preserve">~4,5 días</w:t>
            </w:r>
          </w:p>
        </w:tc>
      </w:tr>
    </w:tbl>
    <w:p>
      <w:pPr>
        <w:pStyle w:val="BodyText"/>
        <w:widowControl w:val="1"/>
      </w:pPr>
      <w:r>
        <w:rPr>
          <w:rFonts w:ascii="Arial" w:hAnsi="Arial" w:eastAsia="Arial"/>
          <w:color w:val="263238"/>
          <w:sz w:val="19"/>
        </w:rPr>
        <w:t xml:space="preserve">Las fuentes externas son el complemento, no el núcleo. El grueso del esfuerzo del piloto va en estructurar los datos internos y construir los análisis sobre ellos.</w:t>
      </w:r>
    </w:p>
    <w:p>
      <w:pPr>
        <w:pBdr>
          <w:bottom w:val="single" w:sz="6" w:space="3" w:color="8EA3A7"/>
        </w:pBdr>
        <w:spacing w:before="40" w:after="120" w:line="60" w:lineRule="auto"/>
        <w:widowControl w:val="1"/>
      </w:pPr>
    </w:p>
    <w:p>
      <w:pPr>
        <w:pStyle w:val="FirstParagraph"/>
        <w:widowControl w:val="1"/>
      </w:pPr>
      <w:r>
        <w:rPr>
          <w:rFonts w:ascii="Arial" w:hAnsi="Arial" w:eastAsia="Arial"/>
          <w:i/>
          <w:iCs/>
          <w:color w:val="263238"/>
          <w:sz w:val="19"/>
        </w:rPr>
        <w:t xml:space="preserve">Documento generado el 25 de junio de 2026 — Astara Intelligence para Garbiker</w:t>
      </w:r>
    </w:p>
    <w:bookmarkEnd w:id="47"/>
    <w:bookmarkEnd w:id="48"/>
    <w:sectPr>
      <w:headerReference w:type="default" r:id="rId9"/>
      <w:footerReference w:type="default" r:id="rId10"/>
      <w:pgSz w:w="11906" w:h="16838"/>
      <w:pgMar w:top="964" w:bottom="879" w:left="935" w:right="935" w:header="369" w:footer="3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018"/>
      <w:gridCol w:w="5018"/>
    </w:tblGrid>
    <w:tr>
      <w:tc>
        <w:tcPr>
          <w:tcW w:type="dxa" w:w="5018"/>
          <w:tcMar>
            <w:top w:w="0" w:type="dxa"/>
            <w:start w:w="0" w:type="dxa"/>
            <w:bottom w:w="0" w:type="dxa"/>
            <w:end w:w="0" w:type="dxa"/>
          </w:tcMar>
        </w:tcPr>
        <w:p>
          <w:pPr>
            <w:jc w:val="left"/>
          </w:pPr>
          <w:r>
            <w:rPr>
              <w:rFonts w:ascii="Arial" w:hAnsi="Arial" w:eastAsia="Arial"/>
              <w:color w:val="52666A"/>
              <w:sz w:val="15"/>
            </w:rPr>
            <w:t>Documento de trabajo · 25 de junio de 2026</w:t>
          </w:r>
        </w:p>
      </w:tc>
      <w:tc>
        <w:tcPr>
          <w:tcW w:type="dxa" w:w="5018"/>
          <w:tcMar>
            <w:top w:w="0" w:type="dxa"/>
            <w:start w:w="0" w:type="dxa"/>
            <w:bottom w:w="0" w:type="dxa"/>
            <w:end w:w="0" w:type="dxa"/>
          </w:tcMar>
        </w:tcPr>
        <w:p>
          <w:pPr>
            <w:jc w:val="right"/>
          </w:pPr>
          <w:r>
            <w:rPr>
              <w:rFonts w:ascii="Arial" w:hAnsi="Arial" w:eastAsia="Arial"/>
              <w:color w:val="52666A"/>
              <w:sz w:val="16"/>
            </w:rPr>
            <w:t xml:space="preserve">Página </w:t>
            <w:fldChar w:fldCharType="begin"/>
            <w:instrText xml:space="preserve"> PAGE </w:instrText>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A9BCC0"/>
      </w:pBdr>
    </w:pPr>
    <w:r>
      <w:rPr>
        <w:rFonts w:ascii="Arial" w:hAnsi="Arial" w:eastAsia="Arial"/>
        <w:b/>
        <w:color w:val="52666A"/>
        <w:sz w:val="15"/>
      </w:rPr>
      <w:t>GARBIKER  |  ASTARA INTELLIGENCE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rial" w:hAnsi="Arial" w:eastAsia="Arial"/>
      <w:b w:val="0"/>
      <w:color w:val="263238"/>
      <w:sz w:val="20"/>
    </w:rPr>
  </w:style>
  <w:style w:styleId="BodyText" w:type="paragraph">
    <w:name w:val="Body Text"/>
    <w:basedOn w:val="Normal"/>
    <w:link w:val="BodyTextChar"/>
    <w:qFormat/>
    <w:pPr>
      <w:spacing w:after="80" w:before="180" w:line="252" w:lineRule="auto"/>
    </w:pPr>
    <w:rPr>
      <w:rFonts w:ascii="Arial" w:hAnsi="Arial" w:eastAsia="Arial"/>
      <w:b w:val="0"/>
      <w:color w:val="263238"/>
      <w:sz w:val="19"/>
    </w:rPr>
  </w:style>
  <w:style w:customStyle="1" w:styleId="FirstParagraph" w:type="paragraph">
    <w:name w:val="First Paragraph"/>
    <w:basedOn w:val="BodyText"/>
    <w:next w:val="BodyText"/>
    <w:qFormat/>
    <w:pPr>
      <w:spacing w:after="80" w:line="252" w:lineRule="auto"/>
    </w:pPr>
    <w:rPr>
      <w:rFonts w:ascii="Arial" w:hAnsi="Arial" w:eastAsia="Arial"/>
      <w:b w:val="0"/>
      <w:color w:val="263238"/>
      <w:sz w:val="19"/>
    </w:rPr>
  </w:style>
  <w:style w:customStyle="1" w:styleId="Compact" w:type="paragraph">
    <w:name w:val="Compact"/>
    <w:basedOn w:val="BodyText"/>
    <w:qFormat/>
    <w:pPr>
      <w:spacing w:after="80" w:before="36" w:line="252" w:lineRule="auto"/>
    </w:pPr>
    <w:rPr>
      <w:rFonts w:ascii="Arial" w:hAnsi="Arial" w:eastAsia="Arial"/>
      <w:b w:val="0"/>
      <w:color w:val="263238"/>
      <w:sz w:val="18"/>
    </w:rPr>
  </w:style>
  <w:style w:styleId="Title" w:type="paragraph">
    <w:name w:val="Title"/>
    <w:basedOn w:val="Normal"/>
    <w:next w:val="BodyText"/>
    <w:qFormat/>
    <w:pPr>
      <w:keepNext/>
      <w:keepLines/>
      <w:spacing w:after="160" w:before="440"/>
      <w:jc w:val="center"/>
    </w:pPr>
    <w:rPr>
      <w:rFonts w:asciiTheme="majorHAnsi" w:cstheme="majorBidi" w:eastAsiaTheme="majorEastAsia" w:hAnsiTheme="majorHAnsi" w:ascii="Arial" w:hAnsi="Arial" w:eastAsia="Arial"/>
      <w:b/>
      <w:bCs/>
      <w:color w:val="185C61"/>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b w:val="0"/>
      <w:color w:val="185C61"/>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80" w:after="120" w:line="240" w:lineRule="auto"/>
      <w:ind w:left="170" w:right="113"/>
    </w:pPr>
    <w:rPr>
      <w:rFonts w:ascii="Consolas" w:hAnsi="Consolas" w:eastAsia="Consolas"/>
      <w:b w:val="0"/>
      <w:color w:val="263238"/>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hyperlink" Target="https://geoportalgasolineras.es" TargetMode="External"/><Relationship Id="rId31" Type="http://schemas.openxmlformats.org/officeDocument/2006/relationships/hyperlink" Target="https://opendata.aemet.es" TargetMode="External"/><Relationship Id="rId44" Type="http://schemas.openxmlformats.org/officeDocument/2006/relationships/hyperlink" Target="https://www.bizkaia.eus" TargetMode="External"/><Relationship Id="rId42" Type="http://schemas.openxmlformats.org/officeDocument/2006/relationships/hyperlink" Target="https://www.cores.es" TargetMode="External"/><Relationship Id="rId39" Type="http://schemas.openxmlformats.org/officeDocument/2006/relationships/hyperlink" Target="https://www.eustat.eus" TargetMode="External"/><Relationship Id="rId33" Type="http://schemas.openxmlformats.org/officeDocument/2006/relationships/hyperlink" Target="https://www.garbiker.eus" TargetMode="External"/><Relationship Id="rId37" Type="http://schemas.openxmlformats.org/officeDocument/2006/relationships/hyperlink" Target="https://www.ihobe.eus/publicaciones/estadisticas-residuos" TargetMode="External"/><Relationship Id="rId29" Type="http://schemas.openxmlformats.org/officeDocument/2006/relationships/hyperlink" Target="https://www.legebiltzarra.eus/bopv"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1" Type="http://schemas.openxmlformats.org/officeDocument/2006/relationships/hyperlink" Target="https://geoportalgasolineras.es" TargetMode="External"/><Relationship Id="rId31" Type="http://schemas.openxmlformats.org/officeDocument/2006/relationships/hyperlink" Target="https://opendata.aemet.es" TargetMode="External"/><Relationship Id="rId44" Type="http://schemas.openxmlformats.org/officeDocument/2006/relationships/hyperlink" Target="https://www.bizkaia.eus" TargetMode="External"/><Relationship Id="rId42" Type="http://schemas.openxmlformats.org/officeDocument/2006/relationships/hyperlink" Target="https://www.cores.es" TargetMode="External"/><Relationship Id="rId39" Type="http://schemas.openxmlformats.org/officeDocument/2006/relationships/hyperlink" Target="https://www.eustat.eus" TargetMode="External"/><Relationship Id="rId33" Type="http://schemas.openxmlformats.org/officeDocument/2006/relationships/hyperlink" Target="https://www.garbiker.eus" TargetMode="External"/><Relationship Id="rId37" Type="http://schemas.openxmlformats.org/officeDocument/2006/relationships/hyperlink" Target="https://www.ihobe.eus/publicaciones/estadisticas-residuos" TargetMode="External"/><Relationship Id="rId29" Type="http://schemas.openxmlformats.org/officeDocument/2006/relationships/hyperlink" Target="https://www.legebiltzarra.eus/bop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fuentes de datos — Garbiker</dc:title>
  <dc:creator>Astara Intelligence</dc:creator>
  <cp:keywords>Garbiker, datos, pilotos, fuentes, auditoría</cp:keywords>
  <dcterms:created xsi:type="dcterms:W3CDTF">2026-06-25T10:12:22Z</dcterms:created>
  <dcterms:modified xsi:type="dcterms:W3CDTF">2026-06-25T10:12:22Z</dcterms:modified>
  <dc:subject>Garbiker — Astara Intelligence</dc:subject>
  <dc:description>Conversión a Word del documento Markdown original.</dc:description>
</cp:coreProperties>
</file>

<file path=docProps/custom.xml><?xml version="1.0" encoding="utf-8"?>
<Properties xmlns="http://schemas.openxmlformats.org/officeDocument/2006/custom-properties" xmlns:vt="http://schemas.openxmlformats.org/officeDocument/2006/docPropsVTypes"/>
</file>