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1B2A4A"/>
          <w:sz w:val="52"/>
          <w:szCs w:val="52"/>
        </w:rPr>
        <w:t xml:space="preserve">Jonathan W. Nicholson, MBA</w:t>
      </w:r>
    </w:p>
    <w:p>
      <w:pPr>
        <w:spacing w:after="40" w:before="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615-498-5851</w:t>
      </w:r>
      <w:r>
        <w:rPr>
          <w:rFonts w:ascii="Calibri" w:cs="Calibri" w:eastAsia="Calibri" w:hAnsi="Calibri"/>
          <w:color w:val="718096"/>
          <w:sz w:val="20"/>
          <w:szCs w:val="20"/>
        </w:rPr>
        <w:t xml:space="preserve">  •  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JN070694@outlook.com</w:t>
      </w:r>
      <w:r>
        <w:rPr>
          <w:rFonts w:ascii="Calibri" w:cs="Calibri" w:eastAsia="Calibri" w:hAnsi="Calibri"/>
          <w:color w:val="718096"/>
          <w:sz w:val="20"/>
          <w:szCs w:val="20"/>
        </w:rPr>
        <w:t xml:space="preserve">  •  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Antioch, TN</w:t>
      </w:r>
    </w:p>
    <w:p>
      <w:pPr>
        <w:spacing w:after="20" w:before="80"/>
      </w:pPr>
      <w:r>
        <w:rPr>
          <w:rFonts w:ascii="Calibri" w:cs="Calibri" w:eastAsia="Calibri" w:hAnsi="Calibri"/>
          <w:i w:val="false"/>
          <w:iCs w:val="false"/>
          <w:color w:val="4A5568"/>
          <w:sz w:val="20"/>
          <w:szCs w:val="20"/>
        </w:rPr>
        <w:t xml:space="preserve">Operations &amp; compliance professional with dual MBAs (4.0 GPA, Summa Cum Laude) and a Master of Accountancy in progress. Proven record of reducing cost, automating workflows, and translating regulatory requirements into scalable business processes across healthcare, pharmaceutical distribution, and public safety sectors.</w:t>
      </w:r>
    </w:p>
    <w:p>
      <w:pPr>
        <w:spacing w:after="0" w:before="80"/>
      </w:pPr>
    </w:p>
    <w:p>
      <w:pPr>
        <w:pBdr>
          <w:bottom w:val="single" w:color="1B2A4A" w:sz="8" w:space="1"/>
        </w:pBdr>
        <w:spacing w:after="60" w:before="0"/>
      </w:pP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B2A4A"/>
          <w:spacing w:val="40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Teaching Assistant — Accounting</w:t>
      </w:r>
      <w:r>
        <w:t xml:space="preserve">	</w:t>
      </w:r>
      <w:r>
        <w:rPr>
          <w:rFonts w:ascii="Calibri" w:cs="Calibri" w:eastAsia="Calibri" w:hAnsi="Calibri"/>
          <w:i/>
          <w:iCs/>
          <w:color w:val="718096"/>
          <w:sz w:val="20"/>
          <w:szCs w:val="20"/>
        </w:rPr>
        <w:t xml:space="preserve">Feb 2025 – Present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color w:val="4A5568"/>
          <w:sz w:val="20"/>
          <w:szCs w:val="20"/>
        </w:rPr>
        <w:t xml:space="preserve">Middle Tennessee State University</w:t>
      </w:r>
      <w:r>
        <w:rPr>
          <w:rFonts w:ascii="Calibri" w:cs="Calibri" w:eastAsia="Calibri" w:hAnsi="Calibri"/>
          <w:color w:val="718096"/>
          <w:sz w:val="20"/>
          <w:szCs w:val="20"/>
        </w:rPr>
        <w:t xml:space="preserve">  •  Murfreesboro, TN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Instructed 30+ graduate students per class in accounting principles, specialty software (Tableau, Access, Excel), and applied financial analysis.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Prepared and reviewed financial reports, projections, and reconciliations to support course curriculum accuracy.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Streamlined record-keeping processes for confidential academic data, reducing retrieval time and improving administrative efficiency.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Distilled complex research findings into accessible summaries, elevating student comprehension scores across assessments.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Sr. DSCSA Compliance Consultant (Contract)</w:t>
      </w:r>
      <w:r>
        <w:t xml:space="preserve">	</w:t>
      </w:r>
      <w:r>
        <w:rPr>
          <w:rFonts w:ascii="Calibri" w:cs="Calibri" w:eastAsia="Calibri" w:hAnsi="Calibri"/>
          <w:i/>
          <w:iCs/>
          <w:color w:val="718096"/>
          <w:sz w:val="20"/>
          <w:szCs w:val="20"/>
        </w:rPr>
        <w:t xml:space="preserve">Mar 2022 – Dec 2024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color w:val="4A5568"/>
          <w:sz w:val="20"/>
          <w:szCs w:val="20"/>
        </w:rPr>
        <w:t xml:space="preserve">Cardinal Health</w:t>
      </w:r>
      <w:r>
        <w:rPr>
          <w:rFonts w:ascii="Calibri" w:cs="Calibri" w:eastAsia="Calibri" w:hAnsi="Calibri"/>
          <w:color w:val="718096"/>
          <w:sz w:val="20"/>
          <w:szCs w:val="20"/>
        </w:rPr>
        <w:t xml:space="preserve">  •  La Vergne, TN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Co-developed and implemented 2023 FDA-mandated DSCSA pharmaceutical supply chain compliance program, ensuring zero regulatory violations across all covered business units.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Identified and corrected a multi-year recurring billing error, recovering an estimated $40,000–$60,000 per quarter in previously lost revenue.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Automated a bi-weekly specialty pharmaceutical charge process, reducing manual processing time by over 400% and eliminating recurring data entry errors.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Independently built Cardinal Health's COVID-19 vaccine tracking form and executive-level sales dashboard, adopted by the Specialty Division VP for ongoing reporting.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Created an automated tracking and reporting log for specialty pharma products to satisfy a vendor-mandated compliance requirement, deployed to production within 30 days.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Supervised a 7-person team on an FDA-mandated Letter of Authorization compliance project covering 10,000+ accounts following a corporate acquisition.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Authored 10+ comprehensive SOP guides and custom Excel forms adopted across multiple business units, standardizing workflows and reducing onboarding time.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Served as subject matter expert and primary trainer for staff on DSCSA regulations, compliance strategies, and system usage.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Police Officer</w:t>
      </w:r>
      <w:r>
        <w:t xml:space="preserve">	</w:t>
      </w:r>
      <w:r>
        <w:rPr>
          <w:rFonts w:ascii="Calibri" w:cs="Calibri" w:eastAsia="Calibri" w:hAnsi="Calibri"/>
          <w:i/>
          <w:iCs/>
          <w:color w:val="718096"/>
          <w:sz w:val="20"/>
          <w:szCs w:val="20"/>
        </w:rPr>
        <w:t xml:space="preserve">Oct 2017 – Jan 2021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color w:val="4A5568"/>
          <w:sz w:val="20"/>
          <w:szCs w:val="20"/>
        </w:rPr>
        <w:t xml:space="preserve">Metro Nashville Police Department</w:t>
      </w:r>
      <w:r>
        <w:rPr>
          <w:rFonts w:ascii="Calibri" w:cs="Calibri" w:eastAsia="Calibri" w:hAnsi="Calibri"/>
          <w:color w:val="718096"/>
          <w:sz w:val="20"/>
          <w:szCs w:val="20"/>
        </w:rPr>
        <w:t xml:space="preserve">  •  Nashville, TN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Managed active caseloads across assigned geographic zones, responding to 911 calls, criminal investigations, and emergency situations with documented outcomes.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Conducted criminal investigations including interviews, evidence collection, and case documentation resulting in successful case closures.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Executed search warrants and coordinated with multi-agency teams on raids, maintaining full legal compliance and officer safety protocols.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Provided sworn courtroom testimony supported by self-authored incident reports, contributing to prosecution outcomes.</w:t>
      </w:r>
    </w:p>
    <w:p>
      <w:pPr>
        <w:spacing w:after="0" w:before="80"/>
      </w:pPr>
    </w:p>
    <w:p>
      <w:pPr>
        <w:pBdr>
          <w:bottom w:val="single" w:color="1B2A4A" w:sz="8" w:space="1"/>
        </w:pBdr>
        <w:spacing w:after="60" w:before="0"/>
      </w:pP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B2A4A"/>
          <w:spacing w:val="40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Recovered $40K–$60K/quarter by identifying and correcting a multi-year undetected billing error at Cardinal Health.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Accelerated processing speed by 400%+ through automation of a bi-weekly specialty pharmaceutical billing workflow.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Built and deployed a COVID-19 vaccine tracking and sales dashboard independently; adopted company-wide by Cardinal Health's Specialty Division.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Designed executive dashboards reported directly to a VP, enabling data-driven decisions across the Specialty Division.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Led a 10,000-account LOA compliance remediation project on an FDA deadline with a team of 7 — completed on time with no violations.</w:t>
      </w:r>
    </w:p>
    <w:p>
      <w:pPr>
        <w:spacing w:after="0" w:before="80"/>
      </w:pPr>
    </w:p>
    <w:p>
      <w:pPr>
        <w:pBdr>
          <w:bottom w:val="single" w:color="1B2A4A" w:sz="8" w:space="1"/>
        </w:pBdr>
        <w:spacing w:after="60" w:before="0"/>
      </w:pP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B2A4A"/>
          <w:spacing w:val="40"/>
          <w:sz w:val="22"/>
          <w:szCs w:val="22"/>
        </w:rPr>
        <w:t xml:space="preserve">SKILLS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Expert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• Microsoft Excel (Advanced)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• LucidChart &amp; Process Mapping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• SOP Creation &amp; Technical Writing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• Tableau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• Problem Identification &amp; Resolution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Advanced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• CRM / ERP Software (Salesforce, SAP)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• Dashboard Creation &amp; Data Analysis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• Financial Statements &amp; General Ledgers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• Lean Six Sigma / Kaizen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• Accounts Payable &amp; Receivable (AP/AR)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Knowledgeable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• Accounting (GAAP)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• Data Corruption Recovery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• HTML / Local Scripts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• DSCSA Compliance &amp; Pharma Regulation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• Regulatory SOP &amp; FDA Mandates</w:t>
            </w:r>
          </w:p>
        </w:tc>
      </w:tr>
    </w:tbl>
    <w:p>
      <w:pPr>
        <w:spacing w:after="0" w:before="80"/>
      </w:pPr>
    </w:p>
    <w:p>
      <w:pPr>
        <w:pBdr>
          <w:bottom w:val="single" w:color="1B2A4A" w:sz="8" w:space="1"/>
        </w:pBdr>
        <w:spacing w:after="60" w:before="0"/>
      </w:pP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B2A4A"/>
          <w:spacing w:val="4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Master of Accountancy (MAcc)</w:t>
      </w:r>
      <w:r>
        <w:t xml:space="preserve">	</w:t>
      </w:r>
      <w:r>
        <w:rPr>
          <w:rFonts w:ascii="Calibri" w:cs="Calibri" w:eastAsia="Calibri" w:hAnsi="Calibri"/>
          <w:i/>
          <w:iCs/>
          <w:color w:val="718096"/>
          <w:sz w:val="20"/>
          <w:szCs w:val="20"/>
        </w:rPr>
        <w:t xml:space="preserve">Jan 2025 – In Progress</w:t>
      </w:r>
    </w:p>
    <w:p>
      <w:pPr>
        <w:spacing w:after="40" w:before="0"/>
      </w:pPr>
      <w:r>
        <w:rPr>
          <w:rFonts w:ascii="Calibri" w:cs="Calibri" w:eastAsia="Calibri" w:hAnsi="Calibri"/>
          <w:color w:val="4A5568"/>
          <w:sz w:val="19"/>
          <w:szCs w:val="19"/>
        </w:rPr>
        <w:t xml:space="preserve">Middle Tennessee State University  •  Murfreesboro, TN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MBA, Business Administration  •  MBA, Healthcare Management</w:t>
      </w:r>
      <w:r>
        <w:t xml:space="preserve">	</w:t>
      </w:r>
      <w:r>
        <w:rPr>
          <w:rFonts w:ascii="Calibri" w:cs="Calibri" w:eastAsia="Calibri" w:hAnsi="Calibri"/>
          <w:i/>
          <w:iCs/>
          <w:color w:val="718096"/>
          <w:sz w:val="20"/>
          <w:szCs w:val="20"/>
        </w:rPr>
        <w:t xml:space="preserve">Aug 2021 – May 2023</w:t>
      </w:r>
    </w:p>
    <w:p>
      <w:pPr>
        <w:spacing w:after="20" w:before="0"/>
      </w:pPr>
      <w:r>
        <w:rPr>
          <w:rFonts w:ascii="Calibri" w:cs="Calibri" w:eastAsia="Calibri" w:hAnsi="Calibri"/>
          <w:color w:val="4A5568"/>
          <w:sz w:val="19"/>
          <w:szCs w:val="19"/>
        </w:rPr>
        <w:t xml:space="preserve">Middle Tennessee State University  •  Murfreesboro, TN</w:t>
      </w:r>
    </w:p>
    <w:p>
      <w:pPr>
        <w:spacing w:after="40" w:before="0"/>
      </w:pPr>
      <w:r>
        <w:rPr>
          <w:rFonts w:ascii="Calibri" w:cs="Calibri" w:eastAsia="Calibri" w:hAnsi="Calibri"/>
          <w:color w:val="718096"/>
          <w:sz w:val="19"/>
          <w:szCs w:val="19"/>
        </w:rPr>
        <w:t xml:space="preserve">GPA: 4.0  •  Summa Cum Laude  •  Dual Degree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BBA, Economics</w:t>
      </w:r>
      <w:r>
        <w:t xml:space="preserve">	</w:t>
      </w:r>
      <w:r>
        <w:rPr>
          <w:rFonts w:ascii="Calibri" w:cs="Calibri" w:eastAsia="Calibri" w:hAnsi="Calibri"/>
          <w:i/>
          <w:iCs/>
          <w:color w:val="718096"/>
          <w:sz w:val="20"/>
          <w:szCs w:val="20"/>
        </w:rPr>
        <w:t xml:space="preserve">Aug 2014 – May 2017</w:t>
      </w:r>
    </w:p>
    <w:p>
      <w:pPr>
        <w:spacing w:after="20" w:before="0"/>
      </w:pPr>
      <w:r>
        <w:rPr>
          <w:rFonts w:ascii="Calibri" w:cs="Calibri" w:eastAsia="Calibri" w:hAnsi="Calibri"/>
          <w:color w:val="4A5568"/>
          <w:sz w:val="19"/>
          <w:szCs w:val="19"/>
        </w:rPr>
        <w:t xml:space="preserve">Middle Tennessee State University  •  Murfreesboro, TN</w:t>
      </w:r>
    </w:p>
    <w:p>
      <w:pPr>
        <w:spacing w:after="40" w:before="0"/>
      </w:pPr>
      <w:r>
        <w:rPr>
          <w:rFonts w:ascii="Calibri" w:cs="Calibri" w:eastAsia="Calibri" w:hAnsi="Calibri"/>
          <w:color w:val="718096"/>
          <w:sz w:val="19"/>
          <w:szCs w:val="19"/>
        </w:rPr>
        <w:t xml:space="preserve">GPA: 3.85  •  Magna Cum Laude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20"/>
      </w:pPr>
      <w:rPr>
        <w:rFonts w:ascii="Calibri" w:cs="Calibri" w:eastAsia="Calibri" w:hAnsi="Calibri"/>
        <w:color w:val="71809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556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2026-05-09T21:40:04.501Z</dcterms:created>
  <dcterms:modified xsi:type="dcterms:W3CDTF">2026-05-09T21:40:04.503Z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