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start"/>
        <w:rPr/>
      </w:pPr>
      <w:r>
        <w:rPr>
          <w:rFonts w:eastAsia="Calibri" w:cs="Calibri"/>
          <w:b/>
          <w:bCs/>
          <w:color w:val="1B2A4A"/>
          <w:sz w:val="52"/>
          <w:szCs w:val="52"/>
        </w:rPr>
        <w:t>Jonathan W. Nicholson, MBA</w:t>
      </w:r>
    </w:p>
    <w:p>
      <w:pPr>
        <w:pStyle w:val="Normal"/>
        <w:spacing w:before="0" w:after="40"/>
        <w:rPr/>
      </w:pPr>
      <w:r>
        <w:rPr>
          <w:rFonts w:eastAsia="Calibri" w:cs="Calibri"/>
          <w:color w:val="4A5568"/>
          <w:sz w:val="20"/>
          <w:szCs w:val="20"/>
        </w:rPr>
        <w:t>615-498-5851</w:t>
      </w:r>
      <w:r>
        <w:rPr>
          <w:rFonts w:eastAsia="Calibri" w:cs="Calibri"/>
          <w:color w:val="718096"/>
          <w:sz w:val="20"/>
          <w:szCs w:val="20"/>
        </w:rPr>
        <w:t xml:space="preserve">  •  </w:t>
      </w:r>
      <w:r>
        <w:rPr>
          <w:rFonts w:eastAsia="Calibri" w:cs="Calibri"/>
          <w:color w:val="4A5568"/>
          <w:sz w:val="20"/>
          <w:szCs w:val="20"/>
        </w:rPr>
        <w:t>JN070694@outlook.com</w:t>
      </w:r>
      <w:r>
        <w:rPr>
          <w:rFonts w:eastAsia="Calibri" w:cs="Calibri"/>
          <w:color w:val="718096"/>
          <w:sz w:val="20"/>
          <w:szCs w:val="20"/>
        </w:rPr>
        <w:t xml:space="preserve">  •  </w:t>
      </w:r>
      <w:r>
        <w:rPr>
          <w:rFonts w:eastAsia="Calibri" w:cs="Calibri"/>
          <w:color w:val="4A5568"/>
          <w:sz w:val="20"/>
          <w:szCs w:val="20"/>
        </w:rPr>
        <w:t>Antioch, TN</w:t>
      </w:r>
    </w:p>
    <w:p>
      <w:pPr>
        <w:pStyle w:val="Normal"/>
        <w:spacing w:before="80" w:after="20"/>
        <w:rPr/>
      </w:pPr>
      <w:r>
        <w:rPr>
          <w:rFonts w:eastAsia="Calibri" w:cs="Calibri"/>
          <w:i w:val="false"/>
          <w:iCs w:val="false"/>
          <w:color w:val="4A5568"/>
          <w:sz w:val="20"/>
          <w:szCs w:val="20"/>
        </w:rPr>
        <w:t>Operations &amp; compliance professional with dual MBAs (4.0 GPA, Summa Cum Laude) and a Master of Accountancy in progress. Proven record of reducing cost, automating workflows, and translating regulatory requirements into scalable business processes across healthcare, pharmaceutical distribution, and public safety sectors.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8" w:space="1" w:color="1B2A4A"/>
        </w:pBdr>
        <w:spacing w:before="0" w:after="60"/>
        <w:rPr/>
      </w:pPr>
      <w:r>
        <w:rPr/>
      </w:r>
    </w:p>
    <w:p>
      <w:pPr>
        <w:pStyle w:val="Normal"/>
        <w:spacing w:before="200" w:after="40"/>
        <w:rPr/>
      </w:pPr>
      <w:r>
        <w:rPr>
          <w:rFonts w:eastAsia="Calibri" w:cs="Calibri"/>
          <w:b/>
          <w:bCs/>
          <w:color w:val="1B2A4A"/>
          <w:spacing w:val="40"/>
          <w:sz w:val="22"/>
          <w:szCs w:val="22"/>
        </w:rPr>
        <w:t>PROFESSIONAL EXPERIENCE</w:t>
      </w:r>
    </w:p>
    <w:p>
      <w:pPr>
        <w:pStyle w:val="Normal"/>
        <w:tabs>
          <w:tab w:val="clear" w:pos="720"/>
          <w:tab w:val="right" w:pos="9026" w:leader="none"/>
        </w:tabs>
        <w:spacing w:before="160" w:after="20"/>
        <w:rPr/>
      </w:pPr>
      <w:r>
        <w:rPr>
          <w:rFonts w:eastAsia="Calibri" w:cs="Calibri"/>
          <w:b/>
          <w:bCs/>
          <w:color w:val="1B2A4A"/>
          <w:sz w:val="22"/>
          <w:szCs w:val="22"/>
        </w:rPr>
        <w:t>Teaching Assistant — Accounting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Feb 2025 – May 2026</w:t>
      </w:r>
    </w:p>
    <w:p>
      <w:pPr>
        <w:pStyle w:val="Normal"/>
        <w:spacing w:before="0" w:after="20"/>
        <w:rPr/>
      </w:pPr>
      <w:r>
        <w:rPr>
          <w:rFonts w:eastAsia="Calibri" w:cs="Calibri"/>
          <w:b w:val="false"/>
          <w:bCs w:val="false"/>
          <w:color w:val="4A5568"/>
          <w:sz w:val="20"/>
          <w:szCs w:val="20"/>
        </w:rPr>
        <w:t>Middle Tennessee State University</w:t>
      </w:r>
      <w:r>
        <w:rPr>
          <w:rFonts w:eastAsia="Calibri" w:cs="Calibri"/>
          <w:color w:val="718096"/>
          <w:sz w:val="20"/>
          <w:szCs w:val="20"/>
        </w:rPr>
        <w:t xml:space="preserve">  •  Murfreesboro, TN</w:t>
      </w:r>
    </w:p>
    <w:p>
      <w:pPr>
        <w:pStyle w:val="ListParagraph"/>
        <w:numPr>
          <w:ilvl w:val="0"/>
          <w:numId w:val="24"/>
        </w:numPr>
        <w:spacing w:before="20" w:after="20"/>
        <w:rPr>
          <w:rFonts w:ascii="Calibri" w:hAnsi="Calibri" w:eastAsia="Calibri" w:cs="Calibri"/>
          <w:color w:val="4A5568"/>
          <w:sz w:val="20"/>
          <w:szCs w:val="20"/>
        </w:rPr>
      </w:pPr>
      <w:r>
        <w:rPr>
          <w:rFonts w:eastAsia="Calibri" w:cs="Calibri"/>
          <w:color w:val="4A5568"/>
          <w:sz w:val="20"/>
          <w:szCs w:val="20"/>
        </w:rPr>
        <w:t>Instructed 30+ graduate students per class in accounting principles, specialty software (Tableau, Access, Excel), and applied financial analysis.</w:t>
      </w:r>
    </w:p>
    <w:p>
      <w:pPr>
        <w:pStyle w:val="ListParagraph"/>
        <w:numPr>
          <w:ilvl w:val="0"/>
          <w:numId w:val="25"/>
        </w:numPr>
        <w:spacing w:before="20" w:after="20"/>
        <w:rPr>
          <w:rFonts w:ascii="Calibri" w:hAnsi="Calibri" w:eastAsia="Calibri" w:cs="Calibri"/>
          <w:color w:val="4A5568"/>
          <w:sz w:val="20"/>
          <w:szCs w:val="20"/>
        </w:rPr>
      </w:pPr>
      <w:r>
        <w:rPr>
          <w:rFonts w:eastAsia="Calibri" w:cs="Calibri"/>
          <w:color w:val="4A5568"/>
          <w:sz w:val="20"/>
          <w:szCs w:val="20"/>
        </w:rPr>
        <w:t xml:space="preserve">Taught 30+ graduate students </w:t>
      </w:r>
      <w:r>
        <w:rPr>
          <w:rFonts w:eastAsia="Calibri" w:cs="Calibri"/>
          <w:color w:val="4A5568"/>
          <w:sz w:val="20"/>
          <w:szCs w:val="20"/>
        </w:rPr>
        <w:t>in information systems courses, to include:</w:t>
      </w:r>
      <w:r>
        <w:rPr>
          <w:rFonts w:eastAsia="Calibri" w:cs="Calibri"/>
          <w:color w:val="4A5568"/>
          <w:sz w:val="20"/>
          <w:szCs w:val="20"/>
        </w:rPr>
        <w:t xml:space="preserve"> SQL, Alteryx, database design, modeling, and performance optimization as well as GitHub usage.</w:t>
      </w:r>
    </w:p>
    <w:p>
      <w:pPr>
        <w:pStyle w:val="ListParagraph"/>
        <w:numPr>
          <w:ilvl w:val="0"/>
          <w:numId w:val="26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Prepared and reviewed financial reports, projections, and reconciliations to support course curriculum accuracy.</w:t>
      </w:r>
    </w:p>
    <w:p>
      <w:pPr>
        <w:pStyle w:val="ListParagraph"/>
        <w:numPr>
          <w:ilvl w:val="0"/>
          <w:numId w:val="27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Streamlined record-keeping processes for confidential academic data, reducing retrieval time and improving administrative efficiency.</w:t>
      </w:r>
    </w:p>
    <w:p>
      <w:pPr>
        <w:pStyle w:val="ListParagraph"/>
        <w:numPr>
          <w:ilvl w:val="0"/>
          <w:numId w:val="28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Distilled complex research findings into accessible summaries, elevating student comprehension scores across assessments.</w:t>
      </w:r>
    </w:p>
    <w:p>
      <w:pPr>
        <w:pStyle w:val="Normal"/>
        <w:tabs>
          <w:tab w:val="clear" w:pos="720"/>
          <w:tab w:val="right" w:pos="9026" w:leader="none"/>
        </w:tabs>
        <w:spacing w:before="160" w:after="20"/>
        <w:rPr/>
      </w:pPr>
      <w:r>
        <w:rPr>
          <w:rFonts w:eastAsia="Calibri" w:cs="Calibri"/>
          <w:b/>
          <w:bCs/>
          <w:color w:val="1B2A4A"/>
          <w:sz w:val="22"/>
          <w:szCs w:val="22"/>
        </w:rPr>
        <w:t>Sr. DSCSA Specialist (Contract)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Mar 2022 – Dec 2024</w:t>
      </w:r>
    </w:p>
    <w:p>
      <w:pPr>
        <w:pStyle w:val="Normal"/>
        <w:spacing w:before="0" w:after="20"/>
        <w:rPr/>
      </w:pPr>
      <w:r>
        <w:rPr>
          <w:rFonts w:eastAsia="Calibri" w:cs="Calibri"/>
          <w:b w:val="false"/>
          <w:bCs w:val="false"/>
          <w:color w:val="4A5568"/>
          <w:sz w:val="20"/>
          <w:szCs w:val="20"/>
        </w:rPr>
        <w:t>Cardinal Health</w:t>
      </w:r>
      <w:r>
        <w:rPr>
          <w:rFonts w:eastAsia="Calibri" w:cs="Calibri"/>
          <w:color w:val="718096"/>
          <w:sz w:val="20"/>
          <w:szCs w:val="20"/>
        </w:rPr>
        <w:t xml:space="preserve">  •  La Vergne, TN</w:t>
      </w:r>
    </w:p>
    <w:p>
      <w:pPr>
        <w:pStyle w:val="ListParagraph"/>
        <w:numPr>
          <w:ilvl w:val="0"/>
          <w:numId w:val="29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Co</w:t>
      </w:r>
      <w:r>
        <w:rPr>
          <w:rFonts w:eastAsia="Calibri" w:cs="Calibri"/>
          <w:color w:val="4A5568"/>
          <w:sz w:val="20"/>
          <w:szCs w:val="20"/>
        </w:rPr>
        <w:t>ntributed to the development of Cardinal Health’s</w:t>
      </w:r>
      <w:r>
        <w:rPr>
          <w:rFonts w:eastAsia="Calibri" w:cs="Calibri"/>
          <w:color w:val="4A5568"/>
          <w:sz w:val="20"/>
          <w:szCs w:val="20"/>
        </w:rPr>
        <w:t xml:space="preserve"> 2023 FDA-mandated DSCSA pharmaceutical supply chain compliance program, ensuring zero regulatory violations across all covered business units.</w:t>
      </w:r>
    </w:p>
    <w:p>
      <w:pPr>
        <w:pStyle w:val="ListParagraph"/>
        <w:numPr>
          <w:ilvl w:val="0"/>
          <w:numId w:val="30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Identified and corrected a multi-year recurring billing error, recovering an estimated $40,000–$60,000 per quarter in previously lost revenue.</w:t>
      </w:r>
    </w:p>
    <w:p>
      <w:pPr>
        <w:pStyle w:val="ListParagraph"/>
        <w:numPr>
          <w:ilvl w:val="0"/>
          <w:numId w:val="3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Automated a bi-weekly specialty pharmaceutical charge process, reducing manual processing time by over 400% and eliminating recurring data entry errors.</w:t>
      </w:r>
    </w:p>
    <w:p>
      <w:pPr>
        <w:pStyle w:val="ListParagraph"/>
        <w:numPr>
          <w:ilvl w:val="0"/>
          <w:numId w:val="32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Independently built Cardinal Health's COVID-19 vaccine tracking form and executive-level sales dashboard, adopted by the Specialty Division VP for ongoing reporting.</w:t>
      </w:r>
    </w:p>
    <w:p>
      <w:pPr>
        <w:pStyle w:val="ListParagraph"/>
        <w:numPr>
          <w:ilvl w:val="0"/>
          <w:numId w:val="33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Created an automated tracking and reporting log for specialty pharma products to satisfy a vendor-mandated compliance requirement, deployed to production within 30 days.</w:t>
      </w:r>
    </w:p>
    <w:p>
      <w:pPr>
        <w:pStyle w:val="ListParagraph"/>
        <w:numPr>
          <w:ilvl w:val="0"/>
          <w:numId w:val="34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Acted lead on a 7-person team on an FDA-mandated Letter of Authorization compliance project covering 10,000+ accounts following a corporate acquisition.</w:t>
      </w:r>
    </w:p>
    <w:p>
      <w:pPr>
        <w:pStyle w:val="ListParagraph"/>
        <w:numPr>
          <w:ilvl w:val="0"/>
          <w:numId w:val="35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Authored 10+ comprehensive SOP guides and custom Excel forms adopted across multiple business units, standardizing workflows and reducing onboarding time.</w:t>
      </w:r>
    </w:p>
    <w:p>
      <w:pPr>
        <w:pStyle w:val="ListParagraph"/>
        <w:numPr>
          <w:ilvl w:val="0"/>
          <w:numId w:val="36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Served as subject matter expert and primary trainer for staff on DSCSA regulations, compliance strategies, and system usage.</w:t>
      </w:r>
    </w:p>
    <w:p>
      <w:pPr>
        <w:pStyle w:val="Normal"/>
        <w:tabs>
          <w:tab w:val="clear" w:pos="720"/>
          <w:tab w:val="right" w:pos="9026" w:leader="none"/>
        </w:tabs>
        <w:spacing w:before="160" w:after="20"/>
        <w:rPr/>
      </w:pPr>
      <w:r>
        <w:rPr>
          <w:rFonts w:eastAsia="Calibri" w:cs="Calibri"/>
          <w:b/>
          <w:bCs/>
          <w:color w:val="1B2A4A"/>
          <w:sz w:val="22"/>
          <w:szCs w:val="22"/>
        </w:rPr>
        <w:t>Police Officer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Oct 2017 – Jan 2021</w:t>
      </w:r>
    </w:p>
    <w:p>
      <w:pPr>
        <w:pStyle w:val="Normal"/>
        <w:spacing w:before="0" w:after="20"/>
        <w:rPr/>
      </w:pPr>
      <w:r>
        <w:rPr>
          <w:rFonts w:eastAsia="Calibri" w:cs="Calibri"/>
          <w:b w:val="false"/>
          <w:bCs w:val="false"/>
          <w:color w:val="4A5568"/>
          <w:sz w:val="20"/>
          <w:szCs w:val="20"/>
        </w:rPr>
        <w:t>Metro Nashville Police Department</w:t>
      </w:r>
      <w:r>
        <w:rPr>
          <w:rFonts w:eastAsia="Calibri" w:cs="Calibri"/>
          <w:color w:val="718096"/>
          <w:sz w:val="20"/>
          <w:szCs w:val="20"/>
        </w:rPr>
        <w:t xml:space="preserve">  •  Nashville, TN</w:t>
      </w:r>
    </w:p>
    <w:p>
      <w:pPr>
        <w:pStyle w:val="ListParagraph"/>
        <w:numPr>
          <w:ilvl w:val="0"/>
          <w:numId w:val="37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Managed active caseloads across assigned geographic zones, responding to 911 calls, criminal investigations, and emergency situations with documented outcomes.</w:t>
      </w:r>
    </w:p>
    <w:p>
      <w:pPr>
        <w:pStyle w:val="ListParagraph"/>
        <w:numPr>
          <w:ilvl w:val="0"/>
          <w:numId w:val="38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Conducted criminal investigations including interviews, evidence collection, and case documentation resulting in successful case closures.</w:t>
      </w:r>
    </w:p>
    <w:p>
      <w:pPr>
        <w:pStyle w:val="ListParagraph"/>
        <w:numPr>
          <w:ilvl w:val="0"/>
          <w:numId w:val="39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Executed search warrants and coordinated with multi-agency teams on raids, maintaining full legal compliance and officer safety protocols.</w:t>
      </w:r>
    </w:p>
    <w:p>
      <w:pPr>
        <w:pStyle w:val="ListParagraph"/>
        <w:numPr>
          <w:ilvl w:val="0"/>
          <w:numId w:val="40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Provided sworn courtroom testimony supported by self-authored incident reports, contributing to prosecution outcomes.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8" w:space="1" w:color="1B2A4A"/>
        </w:pBdr>
        <w:spacing w:before="0" w:after="60"/>
        <w:rPr/>
      </w:pPr>
      <w:r>
        <w:rPr/>
      </w:r>
    </w:p>
    <w:p>
      <w:pPr>
        <w:pStyle w:val="Normal"/>
        <w:spacing w:before="200" w:after="40"/>
        <w:rPr/>
      </w:pPr>
      <w:r>
        <w:rPr>
          <w:rFonts w:eastAsia="Calibri" w:cs="Calibri"/>
          <w:b/>
          <w:bCs/>
          <w:color w:val="1B2A4A"/>
          <w:spacing w:val="40"/>
          <w:sz w:val="22"/>
          <w:szCs w:val="22"/>
        </w:rPr>
        <w:t>KEY ACHIEVEMENTS</w:t>
      </w:r>
    </w:p>
    <w:p>
      <w:pPr>
        <w:pStyle w:val="ListParagraph"/>
        <w:numPr>
          <w:ilvl w:val="0"/>
          <w:numId w:val="4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Recovered $40K–$60K/quarter by identifying and correcting a multi-year undetected billing error at Cardinal Health.</w:t>
      </w:r>
    </w:p>
    <w:p>
      <w:pPr>
        <w:pStyle w:val="ListParagraph"/>
        <w:numPr>
          <w:ilvl w:val="0"/>
          <w:numId w:val="42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Accelerated processing speed by 400%+ through automation of a bi-weekly specialty pharmaceutical billing workflow.</w:t>
      </w:r>
    </w:p>
    <w:p>
      <w:pPr>
        <w:pStyle w:val="ListParagraph"/>
        <w:numPr>
          <w:ilvl w:val="0"/>
          <w:numId w:val="43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Built and deployed a COVID-19 vaccine tracking and sales dashboard independently; later adopted by Cardinal Health's Specialty Division.</w:t>
      </w:r>
    </w:p>
    <w:p>
      <w:pPr>
        <w:pStyle w:val="ListParagraph"/>
        <w:numPr>
          <w:ilvl w:val="0"/>
          <w:numId w:val="44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Designed executive dashboards reported directly to a VP, enabling data-driven decisions across the Specialty Division.</w:t>
      </w:r>
    </w:p>
    <w:p>
      <w:pPr>
        <w:pStyle w:val="ListParagraph"/>
        <w:numPr>
          <w:ilvl w:val="0"/>
          <w:numId w:val="45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Acted lead over a a 10,000-account Letter of Authorization (LOA) compliance remediation project on an FDA deadline with a team of 7.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8" w:space="1" w:color="1B2A4A"/>
        </w:pBdr>
        <w:spacing w:before="0" w:after="60"/>
        <w:rPr/>
      </w:pPr>
      <w:r>
        <w:rPr/>
      </w:r>
    </w:p>
    <w:p>
      <w:pPr>
        <w:pStyle w:val="Normal"/>
        <w:spacing w:before="200" w:after="40"/>
        <w:rPr/>
      </w:pPr>
      <w:r>
        <w:rPr>
          <w:rFonts w:eastAsia="Calibri" w:cs="Calibri"/>
          <w:b/>
          <w:bCs/>
          <w:color w:val="1B2A4A"/>
          <w:spacing w:val="40"/>
          <w:sz w:val="22"/>
          <w:szCs w:val="22"/>
        </w:rPr>
        <w:t>SKILLS</w:t>
      </w:r>
    </w:p>
    <w:p>
      <w:pPr>
        <w:pStyle w:val="Normal"/>
        <w:spacing w:before="4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120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color w:val="1B2A4A"/>
                <w:sz w:val="18"/>
                <w:szCs w:val="18"/>
              </w:rPr>
              <w:t>Expert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Microsoft Excel (Advanced)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LucidChart &amp; Process Mapping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SOP Creation &amp; Technical Writing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Tableau</w:t>
            </w:r>
          </w:p>
          <w:p>
            <w:pPr>
              <w:pStyle w:val="Normal"/>
              <w:spacing w:before="30" w:after="0"/>
              <w:rPr>
                <w:rFonts w:eastAsia="Calibri" w:cs="Calibri"/>
                <w:color w:val="4A5568"/>
                <w:sz w:val="19"/>
                <w:szCs w:val="19"/>
              </w:rPr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Problem Identification &amp; Resolution</w:t>
            </w:r>
          </w:p>
          <w:p>
            <w:pPr>
              <w:pStyle w:val="Normal"/>
              <w:spacing w:before="30" w:after="0"/>
              <w:rPr/>
            </w:pPr>
            <w:r>
              <w:rPr/>
              <w:t xml:space="preserve">• </w:t>
            </w:r>
            <w:r>
              <w:rPr/>
              <w:t>Linux Computer OS Setup</w:t>
            </w:r>
          </w:p>
        </w:tc>
        <w:tc>
          <w:tcPr>
            <w:tcW w:w="3120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color w:val="1B2A4A"/>
                <w:sz w:val="18"/>
                <w:szCs w:val="18"/>
              </w:rPr>
              <w:t>Advanced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CRM / ERP Software (Salesforce, SAP)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Dashboard Creation &amp; Data Analysis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Financial Statements &amp; General Ledgers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Lean Six Sigma / Kaizen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Accounts Payable &amp; Receivable (AP/AR)</w:t>
            </w:r>
          </w:p>
        </w:tc>
        <w:tc>
          <w:tcPr>
            <w:tcW w:w="3120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color w:val="1B2A4A"/>
                <w:sz w:val="18"/>
                <w:szCs w:val="18"/>
              </w:rPr>
              <w:t>Knowledgeable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Accounting (GAAP)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Data Corruption Recovery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HTML / Local Scripts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DSCSA Compliance &amp; Pharma Regulation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Regulatory SOP &amp; FDA Mandates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8" w:space="1" w:color="1B2A4A"/>
        </w:pBdr>
        <w:spacing w:before="0" w:after="60"/>
        <w:rPr/>
      </w:pPr>
      <w:r>
        <w:rPr/>
      </w:r>
    </w:p>
    <w:p>
      <w:pPr>
        <w:pStyle w:val="Normal"/>
        <w:spacing w:before="200" w:after="40"/>
        <w:rPr/>
      </w:pPr>
      <w:r>
        <w:rPr>
          <w:rFonts w:eastAsia="Calibri" w:cs="Calibri"/>
          <w:b/>
          <w:bCs/>
          <w:color w:val="1B2A4A"/>
          <w:spacing w:val="40"/>
          <w:sz w:val="22"/>
          <w:szCs w:val="22"/>
        </w:rPr>
        <w:t>EDUCATION</w:t>
      </w:r>
    </w:p>
    <w:p>
      <w:pPr>
        <w:pStyle w:val="Normal"/>
        <w:tabs>
          <w:tab w:val="clear" w:pos="720"/>
          <w:tab w:val="right" w:pos="9026" w:leader="none"/>
        </w:tabs>
        <w:spacing w:before="100" w:after="20"/>
        <w:rPr/>
      </w:pPr>
      <w:r>
        <w:rPr>
          <w:rFonts w:eastAsia="Calibri" w:cs="Calibri"/>
          <w:b/>
          <w:bCs/>
          <w:color w:val="1B2A4A"/>
          <w:sz w:val="20"/>
          <w:szCs w:val="20"/>
        </w:rPr>
        <w:t>Master of Accountancy (MAcc)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Jan 2025 – In Progress</w:t>
      </w:r>
    </w:p>
    <w:p>
      <w:pPr>
        <w:pStyle w:val="Normal"/>
        <w:spacing w:before="0" w:after="40"/>
        <w:rPr/>
      </w:pPr>
      <w:r>
        <w:rPr>
          <w:rFonts w:eastAsia="Calibri" w:cs="Calibri"/>
          <w:color w:val="4A5568"/>
          <w:sz w:val="19"/>
          <w:szCs w:val="19"/>
        </w:rPr>
        <w:t>Middle Tennessee State University  •  Murfreesboro, TN</w:t>
      </w:r>
    </w:p>
    <w:p>
      <w:pPr>
        <w:pStyle w:val="Normal"/>
        <w:tabs>
          <w:tab w:val="clear" w:pos="720"/>
          <w:tab w:val="right" w:pos="9026" w:leader="none"/>
        </w:tabs>
        <w:spacing w:before="80" w:after="20"/>
        <w:rPr/>
      </w:pPr>
      <w:r>
        <w:rPr>
          <w:rFonts w:eastAsia="Calibri" w:cs="Calibri"/>
          <w:b/>
          <w:bCs/>
          <w:color w:val="1B2A4A"/>
          <w:sz w:val="20"/>
          <w:szCs w:val="20"/>
        </w:rPr>
        <w:t>MBA, Business Administration  •  MBA, Healthcare Management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Aug 2021 – May 2023</w:t>
      </w:r>
    </w:p>
    <w:p>
      <w:pPr>
        <w:pStyle w:val="Normal"/>
        <w:spacing w:before="0" w:after="20"/>
        <w:rPr/>
      </w:pPr>
      <w:r>
        <w:rPr>
          <w:rFonts w:eastAsia="Calibri" w:cs="Calibri"/>
          <w:color w:val="4A5568"/>
          <w:sz w:val="19"/>
          <w:szCs w:val="19"/>
        </w:rPr>
        <w:t>Middle Tennessee State University  •  Murfreesboro, TN</w:t>
      </w:r>
    </w:p>
    <w:p>
      <w:pPr>
        <w:pStyle w:val="Normal"/>
        <w:spacing w:before="0" w:after="40"/>
        <w:rPr/>
      </w:pPr>
      <w:r>
        <w:rPr>
          <w:rFonts w:eastAsia="Calibri" w:cs="Calibri"/>
          <w:color w:val="718096"/>
          <w:sz w:val="19"/>
          <w:szCs w:val="19"/>
        </w:rPr>
        <w:t>GPA: 4.0  •  Summa Cum Laude  •  Dual Degree</w:t>
      </w:r>
    </w:p>
    <w:p>
      <w:pPr>
        <w:pStyle w:val="Normal"/>
        <w:tabs>
          <w:tab w:val="clear" w:pos="720"/>
          <w:tab w:val="right" w:pos="9026" w:leader="none"/>
        </w:tabs>
        <w:spacing w:before="80" w:after="20"/>
        <w:rPr/>
      </w:pPr>
      <w:r>
        <w:rPr>
          <w:rFonts w:eastAsia="Calibri" w:cs="Calibri"/>
          <w:b/>
          <w:bCs/>
          <w:color w:val="1B2A4A"/>
          <w:sz w:val="20"/>
          <w:szCs w:val="20"/>
        </w:rPr>
        <w:t>BBA, Economics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Aug 2014 – May 2017</w:t>
      </w:r>
    </w:p>
    <w:p>
      <w:pPr>
        <w:pStyle w:val="Normal"/>
        <w:spacing w:before="0" w:after="20"/>
        <w:rPr/>
      </w:pPr>
      <w:r>
        <w:rPr>
          <w:rFonts w:eastAsia="Calibri" w:cs="Calibri"/>
          <w:color w:val="4A5568"/>
          <w:sz w:val="19"/>
          <w:szCs w:val="19"/>
        </w:rPr>
        <w:t>Middle Tennessee State University  •  Murfreesboro, TN</w:t>
      </w:r>
    </w:p>
    <w:p>
      <w:pPr>
        <w:pStyle w:val="Normal"/>
        <w:spacing w:before="0" w:after="40"/>
        <w:rPr/>
      </w:pPr>
      <w:r>
        <w:rPr>
          <w:rFonts w:eastAsia="Calibri" w:cs="Calibri"/>
          <w:color w:val="718096"/>
          <w:sz w:val="19"/>
          <w:szCs w:val="19"/>
        </w:rPr>
        <w:t>GPA: 3.85  •  Magna Cum Laude</w:t>
      </w:r>
    </w:p>
    <w:sectPr>
      <w:type w:val="nextPage"/>
      <w:pgSz w:w="12240" w:h="15840"/>
      <w:pgMar w:left="1260" w:right="1260" w:gutter="0" w:header="0" w:top="1080" w:footer="0" w:bottom="108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1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2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3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4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5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6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7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8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9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0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1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2">
    <w:lvl w:ilvl="0">
      <w:start w:val="1"/>
      <w:numFmt w:val="bullet"/>
      <w:lvlText w:val="–"/>
      <w:lvlJc w:val="start"/>
      <w:pPr>
        <w:tabs>
          <w:tab w:val="num" w:pos="0"/>
        </w:tabs>
        <w:ind w:star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1"/>
    <w:lvlOverride w:ilvl="0">
      <w:startOverride w:val="1"/>
    </w:lvlOverride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4A5568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4A5568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b/>
      <w:bCs/>
      <w:color w:val="4A5568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4A5568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LibreOffice/25.2.3.2$Linux_X86_64 LibreOffice_project/520$Build-2</Application>
  <AppVersion>15.0000</AppVersion>
  <Pages>3</Pages>
  <Words>663</Words>
  <Characters>4142</Characters>
  <CharactersWithSpaces>4750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2026-05-09T21:40:04Z</dcterms:created>
  <dc:creator>Un-named</dc:creator>
  <dc:description/>
  <dc:language>en-US</dc:language>
  <cp:lastModifiedBy/>
  <dcterms:modified xsi:type="dcterms:W3CDTF">2026-05-17T04:23:04Z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