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left"/>
        <w:rPr/>
      </w:pPr>
      <w:r>
        <w:rPr>
          <w:rFonts w:eastAsia="Calibri" w:cs="Calibri"/>
          <w:b/>
          <w:bCs/>
          <w:color w:val="1B2A4A"/>
          <w:sz w:val="52"/>
          <w:szCs w:val="52"/>
        </w:rPr>
        <w:t>Jonathan W. Nicholson, MBA</w:t>
      </w:r>
    </w:p>
    <w:p>
      <w:pPr>
        <w:pStyle w:val="Normal"/>
        <w:spacing w:before="0" w:after="40"/>
        <w:rPr/>
      </w:pPr>
      <w:r>
        <w:rPr>
          <w:rFonts w:eastAsia="Calibri" w:cs="Calibri"/>
          <w:color w:val="4A5568"/>
          <w:sz w:val="20"/>
          <w:szCs w:val="20"/>
        </w:rPr>
        <w:t>615-498-5851</w:t>
      </w:r>
      <w:r>
        <w:rPr>
          <w:rFonts w:eastAsia="Calibri" w:cs="Calibri"/>
          <w:color w:val="718096"/>
          <w:sz w:val="20"/>
          <w:szCs w:val="20"/>
        </w:rPr>
        <w:t xml:space="preserve">  •  </w:t>
      </w:r>
      <w:r>
        <w:rPr>
          <w:rFonts w:eastAsia="Calibri" w:cs="Calibri"/>
          <w:color w:val="4A5568"/>
          <w:sz w:val="20"/>
          <w:szCs w:val="20"/>
        </w:rPr>
        <w:t>JN070694@outlook.com</w:t>
      </w:r>
      <w:r>
        <w:rPr>
          <w:rFonts w:eastAsia="Calibri" w:cs="Calibri"/>
          <w:color w:val="718096"/>
          <w:sz w:val="20"/>
          <w:szCs w:val="20"/>
        </w:rPr>
        <w:t xml:space="preserve">  •  </w:t>
      </w:r>
      <w:r>
        <w:rPr>
          <w:rFonts w:eastAsia="Calibri" w:cs="Calibri"/>
          <w:color w:val="4A5568"/>
          <w:sz w:val="20"/>
          <w:szCs w:val="20"/>
        </w:rPr>
        <w:t>Antioch, TN</w:t>
      </w:r>
    </w:p>
    <w:p>
      <w:pPr>
        <w:pStyle w:val="Normal"/>
        <w:spacing w:before="80" w:after="20"/>
        <w:rPr/>
      </w:pPr>
      <w:r>
        <w:rPr>
          <w:rFonts w:eastAsia="Calibri" w:cs="Calibri"/>
          <w:i w:val="false"/>
          <w:iCs w:val="false"/>
          <w:color w:val="4A5568"/>
          <w:sz w:val="20"/>
          <w:szCs w:val="20"/>
        </w:rPr>
        <w:t>Operations &amp; compliance professional with dual MBAs (4.0 GPA, Summa Cum Laude) and a Master of Accountancy in progress. Proven record of reducing cost, automating workflows, and translating regulatory requirements into scalable business processes across healthcare, pharmaceutical distribution, and public safety sectors.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8" w:space="1" w:color="1B2A4A"/>
        </w:pBdr>
        <w:spacing w:before="0" w:after="60"/>
        <w:rPr/>
      </w:pPr>
      <w:r>
        <w:rPr/>
      </w:r>
    </w:p>
    <w:p>
      <w:pPr>
        <w:pStyle w:val="Normal"/>
        <w:spacing w:before="200" w:after="40"/>
        <w:rPr/>
      </w:pPr>
      <w:r>
        <w:rPr>
          <w:rFonts w:eastAsia="Calibri" w:cs="Calibri"/>
          <w:b/>
          <w:bCs/>
          <w:color w:val="1B2A4A"/>
          <w:spacing w:val="40"/>
          <w:sz w:val="22"/>
          <w:szCs w:val="22"/>
        </w:rPr>
        <w:t>PROFESSIONAL EXPERIENCE</w:t>
      </w:r>
    </w:p>
    <w:p>
      <w:pPr>
        <w:pStyle w:val="Normal"/>
        <w:tabs>
          <w:tab w:val="clear" w:pos="720"/>
          <w:tab w:val="right" w:pos="9026" w:leader="none"/>
        </w:tabs>
        <w:spacing w:before="160" w:after="20"/>
        <w:rPr/>
      </w:pPr>
      <w:r>
        <w:rPr>
          <w:rFonts w:eastAsia="Calibri" w:cs="Calibri"/>
          <w:b/>
          <w:bCs/>
          <w:color w:val="1B2A4A"/>
          <w:sz w:val="22"/>
          <w:szCs w:val="22"/>
        </w:rPr>
        <w:t>Teaching Assistant — Accounting</w:t>
      </w:r>
      <w:r>
        <w:rPr/>
        <w:tab/>
      </w:r>
      <w:r>
        <w:rPr>
          <w:rFonts w:eastAsia="Calibri" w:cs="Calibri"/>
          <w:i/>
          <w:iCs/>
          <w:color w:val="718096"/>
          <w:sz w:val="20"/>
          <w:szCs w:val="20"/>
        </w:rPr>
        <w:t>Feb 2025 – Present</w:t>
      </w:r>
    </w:p>
    <w:p>
      <w:pPr>
        <w:pStyle w:val="Normal"/>
        <w:spacing w:before="0" w:after="20"/>
        <w:rPr/>
      </w:pPr>
      <w:r>
        <w:rPr>
          <w:rFonts w:eastAsia="Calibri" w:cs="Calibri"/>
          <w:b w:val="false"/>
          <w:bCs w:val="false"/>
          <w:color w:val="4A5568"/>
          <w:sz w:val="20"/>
          <w:szCs w:val="20"/>
        </w:rPr>
        <w:t>Middle Tennessee State University</w:t>
      </w:r>
      <w:r>
        <w:rPr>
          <w:rFonts w:eastAsia="Calibri" w:cs="Calibri"/>
          <w:color w:val="718096"/>
          <w:sz w:val="20"/>
          <w:szCs w:val="20"/>
        </w:rPr>
        <w:t xml:space="preserve">  •  Murfreesboro, TN</w:t>
      </w:r>
    </w:p>
    <w:p>
      <w:pPr>
        <w:pStyle w:val="ListParagraph"/>
        <w:numPr>
          <w:ilvl w:val="0"/>
          <w:numId w:val="24"/>
        </w:numPr>
        <w:spacing w:before="20" w:after="20"/>
        <w:rPr>
          <w:rFonts w:ascii="Calibri" w:hAnsi="Calibri" w:eastAsia="Calibri" w:cs="Calibri"/>
          <w:color w:val="4A5568"/>
          <w:sz w:val="20"/>
          <w:szCs w:val="20"/>
        </w:rPr>
      </w:pPr>
      <w:r>
        <w:rPr>
          <w:rFonts w:eastAsia="Calibri" w:cs="Calibri"/>
          <w:color w:val="4A5568"/>
          <w:sz w:val="20"/>
          <w:szCs w:val="20"/>
        </w:rPr>
        <w:t>Instructed 30+ graduate students per class in accounting principles, specialty software (Tableau, Access, Excel), and applied financial analysis.</w:t>
      </w:r>
    </w:p>
    <w:p>
      <w:pPr>
        <w:pStyle w:val="ListParagraph"/>
        <w:numPr>
          <w:ilvl w:val="0"/>
          <w:numId w:val="25"/>
        </w:numPr>
        <w:spacing w:before="20" w:after="20"/>
        <w:rPr>
          <w:rFonts w:ascii="Calibri" w:hAnsi="Calibri" w:eastAsia="Calibri" w:cs="Calibri"/>
          <w:color w:val="4A5568"/>
          <w:sz w:val="20"/>
          <w:szCs w:val="20"/>
        </w:rPr>
      </w:pPr>
      <w:r>
        <w:rPr>
          <w:rFonts w:eastAsia="Calibri" w:cs="Calibri"/>
          <w:color w:val="4A5568"/>
          <w:sz w:val="20"/>
          <w:szCs w:val="20"/>
        </w:rPr>
        <w:t>Taught 30+ graduate students on on SQL, Alteryx, database design, modeling, and performance optimization as well as GitHub usage.</w:t>
      </w:r>
    </w:p>
    <w:p>
      <w:pPr>
        <w:pStyle w:val="ListParagraph"/>
        <w:numPr>
          <w:ilvl w:val="0"/>
          <w:numId w:val="26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Prepared and reviewed financial reports, projections, and reconciliations to support course curriculum accuracy.</w:t>
      </w:r>
    </w:p>
    <w:p>
      <w:pPr>
        <w:pStyle w:val="ListParagraph"/>
        <w:numPr>
          <w:ilvl w:val="0"/>
          <w:numId w:val="27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Streamlined record-keeping processes for confidential academic data, reducing retrieval time and improving administrative efficiency.</w:t>
      </w:r>
    </w:p>
    <w:p>
      <w:pPr>
        <w:pStyle w:val="ListParagraph"/>
        <w:numPr>
          <w:ilvl w:val="0"/>
          <w:numId w:val="28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Distilled complex research findings into accessible summaries, elevating student comprehension scores across assessments.</w:t>
      </w:r>
    </w:p>
    <w:p>
      <w:pPr>
        <w:pStyle w:val="Normal"/>
        <w:tabs>
          <w:tab w:val="clear" w:pos="720"/>
          <w:tab w:val="right" w:pos="9026" w:leader="none"/>
        </w:tabs>
        <w:spacing w:before="160" w:after="20"/>
        <w:rPr/>
      </w:pPr>
      <w:r>
        <w:rPr>
          <w:rFonts w:eastAsia="Calibri" w:cs="Calibri"/>
          <w:b/>
          <w:bCs/>
          <w:color w:val="1B2A4A"/>
          <w:sz w:val="22"/>
          <w:szCs w:val="22"/>
        </w:rPr>
        <w:t>Sr. DSCSA Specialist (Contract)</w:t>
      </w:r>
      <w:r>
        <w:rPr/>
        <w:tab/>
      </w:r>
      <w:r>
        <w:rPr>
          <w:rFonts w:eastAsia="Calibri" w:cs="Calibri"/>
          <w:i/>
          <w:iCs/>
          <w:color w:val="718096"/>
          <w:sz w:val="20"/>
          <w:szCs w:val="20"/>
        </w:rPr>
        <w:t>Mar 2022 – Dec 2024</w:t>
      </w:r>
    </w:p>
    <w:p>
      <w:pPr>
        <w:pStyle w:val="Normal"/>
        <w:spacing w:before="0" w:after="20"/>
        <w:rPr/>
      </w:pPr>
      <w:r>
        <w:rPr>
          <w:rFonts w:eastAsia="Calibri" w:cs="Calibri"/>
          <w:b w:val="false"/>
          <w:bCs w:val="false"/>
          <w:color w:val="4A5568"/>
          <w:sz w:val="20"/>
          <w:szCs w:val="20"/>
        </w:rPr>
        <w:t>Cardinal Health</w:t>
      </w:r>
      <w:r>
        <w:rPr>
          <w:rFonts w:eastAsia="Calibri" w:cs="Calibri"/>
          <w:color w:val="718096"/>
          <w:sz w:val="20"/>
          <w:szCs w:val="20"/>
        </w:rPr>
        <w:t xml:space="preserve">  •  La Vergne, TN</w:t>
      </w:r>
    </w:p>
    <w:p>
      <w:pPr>
        <w:pStyle w:val="ListParagraph"/>
        <w:numPr>
          <w:ilvl w:val="0"/>
          <w:numId w:val="29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Co-developed and implemented 2023 FDA-mandated DSCSA pharmaceutical supply chain compliance program, ensuring zero regulatory violations across all covered business units.</w:t>
      </w:r>
    </w:p>
    <w:p>
      <w:pPr>
        <w:pStyle w:val="ListParagraph"/>
        <w:numPr>
          <w:ilvl w:val="0"/>
          <w:numId w:val="30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Identified and corrected a multi-year recurring billing error, recovering an estimated $40,000–$60,000 per quarter in previously lost revenue.</w:t>
      </w:r>
    </w:p>
    <w:p>
      <w:pPr>
        <w:pStyle w:val="ListParagraph"/>
        <w:numPr>
          <w:ilvl w:val="0"/>
          <w:numId w:val="31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Automated a bi-weekly specialty pharmaceutical charge process, reducing manual processing time by over 400% and eliminating recurring data entry errors.</w:t>
      </w:r>
    </w:p>
    <w:p>
      <w:pPr>
        <w:pStyle w:val="ListParagraph"/>
        <w:numPr>
          <w:ilvl w:val="0"/>
          <w:numId w:val="32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Independently built Cardinal Health's COVID-19 vaccine tracking form and executive-level sales dashboard, adopted by the Specialty Division VP for ongoing reporting.</w:t>
      </w:r>
    </w:p>
    <w:p>
      <w:pPr>
        <w:pStyle w:val="ListParagraph"/>
        <w:numPr>
          <w:ilvl w:val="0"/>
          <w:numId w:val="33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Created an automated tracking and reporting log for specialty pharma products to satisfy a vendor-mandated compliance requirement, deployed to production within 30 days.</w:t>
      </w:r>
    </w:p>
    <w:p>
      <w:pPr>
        <w:pStyle w:val="ListParagraph"/>
        <w:numPr>
          <w:ilvl w:val="0"/>
          <w:numId w:val="34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Acted lead on</w:t>
      </w:r>
      <w:r>
        <w:rPr>
          <w:rFonts w:eastAsia="Calibri" w:cs="Calibri"/>
          <w:color w:val="4A5568"/>
          <w:sz w:val="20"/>
          <w:szCs w:val="20"/>
        </w:rPr>
        <w:t xml:space="preserve"> a 7-person team on an FDA-mandated Letter of Authorization compliance project covering 10,000+ accounts following a corporate acquisition.</w:t>
      </w:r>
    </w:p>
    <w:p>
      <w:pPr>
        <w:pStyle w:val="ListParagraph"/>
        <w:numPr>
          <w:ilvl w:val="0"/>
          <w:numId w:val="35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Authored 10+ comprehensive SOP guides and custom Excel forms adopted across multiple business units, standardizing workflows and reducing onboarding time.</w:t>
      </w:r>
    </w:p>
    <w:p>
      <w:pPr>
        <w:pStyle w:val="ListParagraph"/>
        <w:numPr>
          <w:ilvl w:val="0"/>
          <w:numId w:val="36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Served as subject matter expert and primary trainer for staff on DSCSA regulations, compliance strategies, and system usage.</w:t>
      </w:r>
    </w:p>
    <w:p>
      <w:pPr>
        <w:pStyle w:val="Normal"/>
        <w:tabs>
          <w:tab w:val="clear" w:pos="720"/>
          <w:tab w:val="right" w:pos="9026" w:leader="none"/>
        </w:tabs>
        <w:spacing w:before="160" w:after="20"/>
        <w:rPr/>
      </w:pPr>
      <w:r>
        <w:rPr>
          <w:rFonts w:eastAsia="Calibri" w:cs="Calibri"/>
          <w:b/>
          <w:bCs/>
          <w:color w:val="1B2A4A"/>
          <w:sz w:val="22"/>
          <w:szCs w:val="22"/>
        </w:rPr>
        <w:t>Police Officer</w:t>
      </w:r>
      <w:r>
        <w:rPr/>
        <w:tab/>
      </w:r>
      <w:r>
        <w:rPr>
          <w:rFonts w:eastAsia="Calibri" w:cs="Calibri"/>
          <w:i/>
          <w:iCs/>
          <w:color w:val="718096"/>
          <w:sz w:val="20"/>
          <w:szCs w:val="20"/>
        </w:rPr>
        <w:t>Oct 2017 – Jan 2021</w:t>
      </w:r>
    </w:p>
    <w:p>
      <w:pPr>
        <w:pStyle w:val="Normal"/>
        <w:spacing w:before="0" w:after="20"/>
        <w:rPr/>
      </w:pPr>
      <w:r>
        <w:rPr>
          <w:rFonts w:eastAsia="Calibri" w:cs="Calibri"/>
          <w:b w:val="false"/>
          <w:bCs w:val="false"/>
          <w:color w:val="4A5568"/>
          <w:sz w:val="20"/>
          <w:szCs w:val="20"/>
        </w:rPr>
        <w:t>Metro Nashville Police Department</w:t>
      </w:r>
      <w:r>
        <w:rPr>
          <w:rFonts w:eastAsia="Calibri" w:cs="Calibri"/>
          <w:color w:val="718096"/>
          <w:sz w:val="20"/>
          <w:szCs w:val="20"/>
        </w:rPr>
        <w:t xml:space="preserve">  •  Nashville, TN</w:t>
      </w:r>
    </w:p>
    <w:p>
      <w:pPr>
        <w:pStyle w:val="ListParagraph"/>
        <w:numPr>
          <w:ilvl w:val="0"/>
          <w:numId w:val="37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Managed active caseloads across assigned geographic zones, responding to 911 calls, criminal investigations, and emergency situations with documented outcomes.</w:t>
      </w:r>
    </w:p>
    <w:p>
      <w:pPr>
        <w:pStyle w:val="ListParagraph"/>
        <w:numPr>
          <w:ilvl w:val="0"/>
          <w:numId w:val="38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Conducted criminal investigations including interviews, evidence collection, and case documentation resulting in successful case closures.</w:t>
      </w:r>
    </w:p>
    <w:p>
      <w:pPr>
        <w:pStyle w:val="ListParagraph"/>
        <w:numPr>
          <w:ilvl w:val="0"/>
          <w:numId w:val="39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Executed search warrants and coordinated with multi-agency teams on raids, maintaining full legal compliance and officer safety protocols.</w:t>
      </w:r>
    </w:p>
    <w:p>
      <w:pPr>
        <w:pStyle w:val="ListParagraph"/>
        <w:numPr>
          <w:ilvl w:val="0"/>
          <w:numId w:val="40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Provided sworn courtroom testimony supported by self-authored incident reports, contributing to prosecution outcomes.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8" w:space="1" w:color="1B2A4A"/>
        </w:pBdr>
        <w:spacing w:before="0" w:after="60"/>
        <w:rPr/>
      </w:pPr>
      <w:r>
        <w:rPr/>
      </w:r>
    </w:p>
    <w:p>
      <w:pPr>
        <w:pStyle w:val="Normal"/>
        <w:spacing w:before="200" w:after="40"/>
        <w:rPr/>
      </w:pPr>
      <w:r>
        <w:rPr>
          <w:rFonts w:eastAsia="Calibri" w:cs="Calibri"/>
          <w:b/>
          <w:bCs/>
          <w:color w:val="1B2A4A"/>
          <w:spacing w:val="40"/>
          <w:sz w:val="22"/>
          <w:szCs w:val="22"/>
        </w:rPr>
        <w:t>KEY ACHIEVEMENTS</w:t>
      </w:r>
    </w:p>
    <w:p>
      <w:pPr>
        <w:pStyle w:val="ListParagraph"/>
        <w:numPr>
          <w:ilvl w:val="0"/>
          <w:numId w:val="41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Recovered $40K–$60K/quarter by identifying and correcting a multi-year undetected billing error at Cardinal Health.</w:t>
      </w:r>
    </w:p>
    <w:p>
      <w:pPr>
        <w:pStyle w:val="ListParagraph"/>
        <w:numPr>
          <w:ilvl w:val="0"/>
          <w:numId w:val="42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Accelerated processing speed by 400%+ through automation of a bi-weekly specialty pharmaceutical billing workflow.</w:t>
      </w:r>
    </w:p>
    <w:p>
      <w:pPr>
        <w:pStyle w:val="ListParagraph"/>
        <w:numPr>
          <w:ilvl w:val="0"/>
          <w:numId w:val="43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Built and deployed a COVID-19 vaccine tracking and sales dashboard independently; later adopted by Cardinal Health's Specialty Division.</w:t>
      </w:r>
    </w:p>
    <w:p>
      <w:pPr>
        <w:pStyle w:val="ListParagraph"/>
        <w:numPr>
          <w:ilvl w:val="0"/>
          <w:numId w:val="44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Designed executive dashboards reported directly to a VP, enabling data-driven decisions across the Specialty Division.</w:t>
      </w:r>
    </w:p>
    <w:p>
      <w:pPr>
        <w:pStyle w:val="ListParagraph"/>
        <w:numPr>
          <w:ilvl w:val="0"/>
          <w:numId w:val="45"/>
        </w:numPr>
        <w:spacing w:before="20" w:after="20"/>
        <w:rPr/>
      </w:pPr>
      <w:r>
        <w:rPr>
          <w:rFonts w:eastAsia="Calibri" w:cs="Calibri"/>
          <w:color w:val="4A5568"/>
          <w:sz w:val="20"/>
          <w:szCs w:val="20"/>
        </w:rPr>
        <w:t>Acted lead over a a 10,000-account Letter of Authorization (LOA) compliance remediation project on an FDA deadline with a team of 7.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8" w:space="1" w:color="1B2A4A"/>
        </w:pBdr>
        <w:spacing w:before="0" w:after="60"/>
        <w:rPr/>
      </w:pPr>
      <w:r>
        <w:rPr/>
      </w:r>
    </w:p>
    <w:p>
      <w:pPr>
        <w:pStyle w:val="Normal"/>
        <w:spacing w:before="200" w:after="40"/>
        <w:rPr/>
      </w:pPr>
      <w:r>
        <w:rPr>
          <w:rFonts w:eastAsia="Calibri" w:cs="Calibri"/>
          <w:b/>
          <w:bCs/>
          <w:color w:val="1B2A4A"/>
          <w:spacing w:val="40"/>
          <w:sz w:val="22"/>
          <w:szCs w:val="22"/>
        </w:rPr>
        <w:t>SKILLS</w:t>
      </w:r>
    </w:p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B2A4A"/>
                <w:sz w:val="18"/>
                <w:szCs w:val="18"/>
              </w:rPr>
              <w:t>Expert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Microsoft Excel (Advanced)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LucidChart &amp; Process Mapping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SOP Creation &amp; Technical Writing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Tableau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Problem Identification &amp; Resolution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B2A4A"/>
                <w:sz w:val="18"/>
                <w:szCs w:val="18"/>
              </w:rPr>
              <w:t>Advanced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CRM / ERP Software (Salesforce, SAP)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Dashboard Creation &amp; Data Analysis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Financial Statements &amp; General Ledgers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Lean Six Sigma / Kaizen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Accounts Payable &amp; Receivable (AP/AR)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B2A4A"/>
                <w:sz w:val="18"/>
                <w:szCs w:val="18"/>
              </w:rPr>
              <w:t>Knowledgeable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Accounting (GAAP)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Data Corruption Recovery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HTML / Local Scripts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DSCSA Compliance &amp; Pharma Regulation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Calibri" w:cs="Calibri"/>
                <w:color w:val="4A5568"/>
                <w:sz w:val="19"/>
                <w:szCs w:val="19"/>
              </w:rPr>
              <w:t xml:space="preserve">• </w:t>
            </w:r>
            <w:r>
              <w:rPr>
                <w:rFonts w:eastAsia="Calibri" w:cs="Calibri"/>
                <w:color w:val="4A5568"/>
                <w:sz w:val="19"/>
                <w:szCs w:val="19"/>
              </w:rPr>
              <w:t>Regulatory SOP &amp; FDA Mandates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8" w:space="1" w:color="1B2A4A"/>
        </w:pBdr>
        <w:spacing w:before="0" w:after="60"/>
        <w:rPr/>
      </w:pPr>
      <w:r>
        <w:rPr/>
      </w:r>
    </w:p>
    <w:p>
      <w:pPr>
        <w:pStyle w:val="Normal"/>
        <w:spacing w:before="200" w:after="40"/>
        <w:rPr/>
      </w:pPr>
      <w:r>
        <w:rPr>
          <w:rFonts w:eastAsia="Calibri" w:cs="Calibri"/>
          <w:b/>
          <w:bCs/>
          <w:color w:val="1B2A4A"/>
          <w:spacing w:val="40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9026" w:leader="none"/>
        </w:tabs>
        <w:spacing w:before="100" w:after="20"/>
        <w:rPr/>
      </w:pPr>
      <w:r>
        <w:rPr>
          <w:rFonts w:eastAsia="Calibri" w:cs="Calibri"/>
          <w:b/>
          <w:bCs/>
          <w:color w:val="1B2A4A"/>
          <w:sz w:val="20"/>
          <w:szCs w:val="20"/>
        </w:rPr>
        <w:t>Master of Accountancy (MAcc)</w:t>
      </w:r>
      <w:r>
        <w:rPr/>
        <w:tab/>
      </w:r>
      <w:r>
        <w:rPr>
          <w:rFonts w:eastAsia="Calibri" w:cs="Calibri"/>
          <w:i/>
          <w:iCs/>
          <w:color w:val="718096"/>
          <w:sz w:val="20"/>
          <w:szCs w:val="20"/>
        </w:rPr>
        <w:t>Jan 2025 – In Progress</w:t>
      </w:r>
    </w:p>
    <w:p>
      <w:pPr>
        <w:pStyle w:val="Normal"/>
        <w:spacing w:before="0" w:after="40"/>
        <w:rPr/>
      </w:pPr>
      <w:r>
        <w:rPr>
          <w:rFonts w:eastAsia="Calibri" w:cs="Calibri"/>
          <w:color w:val="4A5568"/>
          <w:sz w:val="19"/>
          <w:szCs w:val="19"/>
        </w:rPr>
        <w:t>Middle Tennessee State University  •  Murfreesboro, TN</w:t>
      </w:r>
    </w:p>
    <w:p>
      <w:pPr>
        <w:pStyle w:val="Normal"/>
        <w:tabs>
          <w:tab w:val="clear" w:pos="720"/>
          <w:tab w:val="right" w:pos="9026" w:leader="none"/>
        </w:tabs>
        <w:spacing w:before="80" w:after="20"/>
        <w:rPr/>
      </w:pPr>
      <w:r>
        <w:rPr>
          <w:rFonts w:eastAsia="Calibri" w:cs="Calibri"/>
          <w:b/>
          <w:bCs/>
          <w:color w:val="1B2A4A"/>
          <w:sz w:val="20"/>
          <w:szCs w:val="20"/>
        </w:rPr>
        <w:t>MBA, Business Administration  •  MBA, Healthcare Management</w:t>
      </w:r>
      <w:r>
        <w:rPr/>
        <w:tab/>
      </w:r>
      <w:r>
        <w:rPr>
          <w:rFonts w:eastAsia="Calibri" w:cs="Calibri"/>
          <w:i/>
          <w:iCs/>
          <w:color w:val="718096"/>
          <w:sz w:val="20"/>
          <w:szCs w:val="20"/>
        </w:rPr>
        <w:t>Aug 2021 – May 2023</w:t>
      </w:r>
    </w:p>
    <w:p>
      <w:pPr>
        <w:pStyle w:val="Normal"/>
        <w:spacing w:before="0" w:after="20"/>
        <w:rPr/>
      </w:pPr>
      <w:r>
        <w:rPr>
          <w:rFonts w:eastAsia="Calibri" w:cs="Calibri"/>
          <w:color w:val="4A5568"/>
          <w:sz w:val="19"/>
          <w:szCs w:val="19"/>
        </w:rPr>
        <w:t>Middle Tennessee State University  •  Murfreesboro, TN</w:t>
      </w:r>
    </w:p>
    <w:p>
      <w:pPr>
        <w:pStyle w:val="Normal"/>
        <w:spacing w:before="0" w:after="40"/>
        <w:rPr/>
      </w:pPr>
      <w:r>
        <w:rPr>
          <w:rFonts w:eastAsia="Calibri" w:cs="Calibri"/>
          <w:color w:val="718096"/>
          <w:sz w:val="19"/>
          <w:szCs w:val="19"/>
        </w:rPr>
        <w:t>GPA: 4.0  •  Summa Cum Laude  •  Dual Degree</w:t>
      </w:r>
    </w:p>
    <w:p>
      <w:pPr>
        <w:pStyle w:val="Normal"/>
        <w:tabs>
          <w:tab w:val="clear" w:pos="720"/>
          <w:tab w:val="right" w:pos="9026" w:leader="none"/>
        </w:tabs>
        <w:spacing w:before="80" w:after="20"/>
        <w:rPr/>
      </w:pPr>
      <w:r>
        <w:rPr>
          <w:rFonts w:eastAsia="Calibri" w:cs="Calibri"/>
          <w:b/>
          <w:bCs/>
          <w:color w:val="1B2A4A"/>
          <w:sz w:val="20"/>
          <w:szCs w:val="20"/>
        </w:rPr>
        <w:t>BBA, Economics</w:t>
      </w:r>
      <w:r>
        <w:rPr/>
        <w:tab/>
      </w:r>
      <w:r>
        <w:rPr>
          <w:rFonts w:eastAsia="Calibri" w:cs="Calibri"/>
          <w:i/>
          <w:iCs/>
          <w:color w:val="718096"/>
          <w:sz w:val="20"/>
          <w:szCs w:val="20"/>
        </w:rPr>
        <w:t>Aug 2014 – May 2017</w:t>
      </w:r>
    </w:p>
    <w:p>
      <w:pPr>
        <w:pStyle w:val="Normal"/>
        <w:spacing w:before="0" w:after="20"/>
        <w:rPr/>
      </w:pPr>
      <w:r>
        <w:rPr>
          <w:rFonts w:eastAsia="Calibri" w:cs="Calibri"/>
          <w:color w:val="4A5568"/>
          <w:sz w:val="19"/>
          <w:szCs w:val="19"/>
        </w:rPr>
        <w:t>Middle Tennessee State University  •  Murfreesboro, TN</w:t>
      </w:r>
    </w:p>
    <w:p>
      <w:pPr>
        <w:pStyle w:val="Normal"/>
        <w:spacing w:before="0" w:after="40"/>
        <w:rPr/>
      </w:pPr>
      <w:r>
        <w:rPr>
          <w:rFonts w:eastAsia="Calibri" w:cs="Calibri"/>
          <w:color w:val="718096"/>
          <w:sz w:val="19"/>
          <w:szCs w:val="19"/>
        </w:rPr>
        <w:t>GPA: 3.85  •  Magna Cum Laude</w:t>
      </w:r>
    </w:p>
    <w:sectPr>
      <w:type w:val="nextPage"/>
      <w:pgSz w:w="12240" w:h="15840"/>
      <w:pgMar w:left="1260" w:right="126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–"/>
      <w:lvlJc w:val="left"/>
      <w:pPr>
        <w:tabs>
          <w:tab w:val="num" w:pos="0"/>
        </w:tabs>
        <w:ind w:left="360" w:hanging="220"/>
      </w:pPr>
      <w:rPr>
        <w:rFonts w:ascii="Calibri" w:hAnsi="Calibri" w:cs="Calibri" w:hint="default"/>
        <w:color w:val="71809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1"/>
    <w:lvlOverride w:ilvl="0">
      <w:startOverride w:val="1"/>
    </w:lvlOverride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4A556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4A5568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b/>
      <w:bCs/>
      <w:color w:val="4A5568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4A5568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LibreOffice/25.2.3.2$Linux_X86_64 LibreOffice_project/520$Build-2</Application>
  <AppVersion>15.0000</AppVersion>
  <Pages>2</Pages>
  <Words>649</Words>
  <Characters>4068</Characters>
  <CharactersWithSpaces>4663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2026-05-09T21:40:04Z</dcterms:created>
  <dc:creator>Un-named</dc:creator>
  <dc:description/>
  <dc:language>en-US</dc:language>
  <cp:lastModifiedBy/>
  <dcterms:modified xsi:type="dcterms:W3CDTF">2026-05-17T00:45:15Z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