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847725" cy="8477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274e13"/>
          <w:sz w:val="36"/>
          <w:szCs w:val="36"/>
          <w:rtl w:val="0"/>
        </w:rPr>
        <w:t xml:space="preserve">De La Salle University • 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274e13"/>
          <w:sz w:val="36"/>
          <w:szCs w:val="36"/>
          <w:rtl w:val="0"/>
        </w:rPr>
        <w:t xml:space="preserve">SystemScape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74e13"/>
          <w:sz w:val="36"/>
          <w:szCs w:val="36"/>
          <w:rtl w:val="0"/>
        </w:rPr>
        <w:t xml:space="preserve">Iteration 2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 (last name first)    </w:t>
        <w:tab/>
        <w:t xml:space="preserve">:   </w:t>
        <w:tab/>
        <w:t xml:space="preserve">Angeles, Antonio Mariano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</w:t>
        <w:tab/>
        <w:t xml:space="preserve">               </w:t>
        <w:tab/>
        <w:tab/>
        <w:t xml:space="preserve">Coquilla, Philip Bryan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                           </w:t>
        <w:tab/>
        <w:tab/>
        <w:t xml:space="preserve">Cote, Christian Gabriel</w:t>
      </w:r>
    </w:p>
    <w:p w:rsidR="00000000" w:rsidDel="00000000" w:rsidP="00000000" w:rsidRDefault="00000000" w:rsidRPr="00000000">
      <w:pPr>
        <w:ind w:left="288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Fernandez, Ryan Austin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</w:t>
        <w:tab/>
        <w:t xml:space="preserve">      </w:t>
        <w:tab/>
        <w:tab/>
        <w:t xml:space="preserve">Poblete, Clarisse Felicia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</w:t>
        <w:tab/>
        <w:t xml:space="preserve">                         </w:t>
        <w:tab/>
        <w:tab/>
        <w:t xml:space="preserve">Quindoza, Rissa Marie Grace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</w:t>
        <w:tab/>
        <w:t xml:space="preserve">                         </w:t>
        <w:tab/>
        <w:tab/>
        <w:t xml:space="preserve">Salceda, Juan Francesco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  <w:tab/>
        <w:t xml:space="preserve">      </w:t>
        <w:tab/>
        <w:t xml:space="preserve">               </w:t>
        <w:tab/>
        <w:tab/>
        <w:t xml:space="preserve">Tan, Shayane</w:t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  <w:tab/>
        <w:t xml:space="preserve">Uy, Mervin Stewart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</w:t>
        <w:tab/>
        <w:tab/>
        <w:t xml:space="preserve">Velez, Gio Anton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Section                         </w:t>
        <w:tab/>
        <w:tab/>
        <w:t xml:space="preserve">:    </w:t>
        <w:tab/>
        <w:t xml:space="preserve">S19A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Date of Submission         </w:t>
        <w:tab/>
        <w:t xml:space="preserve">:    </w:t>
        <w:tab/>
        <w:t xml:space="preserve">March 23, 2015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Estimate Left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#1: A user (manager, technician) can login to view and manage the purchase order module, the inventory module, and the project assignment module.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#2: A user (manager, technician) can modify his/her login settings which include changing his/her password and setting the date range for displaying warranty and contract notifications.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40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#3: A manager can export the inventory data into spreadsheets to generate the reports.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 Coded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#4: A manager can view the list of suppliers, which may be filtered, to monitor the supplier details.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 Testing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#5: A manager can record supplier details to have a directory of suppliers where the company could get their purchases as well as contact for any inquiries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#6: A manager can update the supplier details to modify incorrect values and inconsistencies.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#7: A manager can view the list of purchase orders, which may be filtered, to monitor the purchase order details.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View Finished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Filtering Missing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#8: A manager can create purchase orders so that s/he can monitor purchase transactions between the company and its suppliers.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#9: A manager can update purchase orders to modify incorrect values and inconsistencies.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 Coded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#10: A manager can export the purchase order data into spreadsheets to generate the purchase order forms  (see Appendix C-1).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#11: A manager can record contract expiry dates so that he/she can monitor the expiry dates of equipment.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#12: A manager can view notifications on items with incoming contract expiry dates so that he/she can renew the contract in order to repair or to replace an equipment when complications arise.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 Coded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#13: A manager can record item warranty expiry dates so that he/she can monitor the warranty expiry dates of an item.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#14: A manager can view notifications on items with incoming warranty expiry dates so that he/she can monitor the fee of maintaining the item which increases without the warranty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 Coded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#15: A manager can view the list of employees, which may be filtered, to monitor the company staff.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 Testing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#16: A manager can add employees to assign the items and the projects.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#17: A manager can update the employee details to modify incorrect values and inconsistencies.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#18: A manager can grant or remove admin privileges to a user to allow management in case of emergency and to maintain security respectively.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 Coded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#19: A manager can view the list of projects, which may be filtered, to monitor the project  details.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#20: A manager can add project details to assign the items and the employees.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#21: A manager can assign the items to an employee for a specific project to monitor the item’s availability.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 Coded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#22: A manager can assign the employees to a specific project to monitor the projects and the employees handling the item.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#23: A user (manager, technician) can view the inventory, which may be filtered,  to monitor purchases and its corresponding details.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Basic View Finished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Filtering Missing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#24: A user (manager, technician) can add items to the inventory to record the receipt of ordered supplies from the suppliers.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#25: A manager can add items to the inventory through a purchase order to reflect arrival of ordered items.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 Coded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Story #26: A user (manager, technician) can update the details of an item in the inventory to modify wrong details or to specify the status of an item.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PRIORITY: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 Coded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hours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Nexa Light" w:cs="Nexa Light" w:eastAsia="Nexa Light" w:hAnsi="Nexa Ligh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