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847725" cy="8477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274e13"/>
          <w:sz w:val="36"/>
          <w:szCs w:val="36"/>
          <w:rtl w:val="0"/>
        </w:rPr>
        <w:t xml:space="preserve">De La Salle University • College of 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274e13"/>
          <w:sz w:val="36"/>
          <w:szCs w:val="36"/>
          <w:rtl w:val="0"/>
        </w:rPr>
        <w:t xml:space="preserve">SystemScape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274e13"/>
          <w:sz w:val="36"/>
          <w:szCs w:val="36"/>
          <w:rtl w:val="0"/>
        </w:rPr>
        <w:t xml:space="preserve">Quality Control Strategy, Revised ER Diagram, and MVC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(last name first)    </w:t>
        <w:tab/>
        <w:t xml:space="preserve">:   </w:t>
        <w:tab/>
        <w:t xml:space="preserve">Angeles, Antonio Mariano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</w:t>
        <w:tab/>
        <w:t xml:space="preserve">               </w:t>
        <w:tab/>
        <w:tab/>
        <w:t xml:space="preserve">Coquilla, Philip Bryan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                  </w:t>
        <w:tab/>
        <w:tab/>
        <w:t xml:space="preserve">Cote, Christian Gabriel</w:t>
      </w:r>
    </w:p>
    <w:p w:rsidR="00000000" w:rsidDel="00000000" w:rsidP="00000000" w:rsidRDefault="00000000" w:rsidRPr="00000000">
      <w:pPr>
        <w:ind w:left="288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Fernandez, Ryan Austin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</w:t>
        <w:tab/>
        <w:t xml:space="preserve">      </w:t>
        <w:tab/>
        <w:tab/>
        <w:t xml:space="preserve">Poblete, Clarisse Felicia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</w:t>
        <w:tab/>
        <w:t xml:space="preserve">                         </w:t>
        <w:tab/>
        <w:tab/>
        <w:t xml:space="preserve">Quindoza, Rissa Marie Grace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</w:t>
        <w:tab/>
        <w:t xml:space="preserve">                         </w:t>
        <w:tab/>
        <w:tab/>
        <w:t xml:space="preserve">Salceda, Juan Francesco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</w:t>
        <w:tab/>
        <w:t xml:space="preserve">      </w:t>
        <w:tab/>
        <w:t xml:space="preserve">               </w:t>
        <w:tab/>
        <w:tab/>
        <w:t xml:space="preserve">Tan, Shayane</w:t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Uy, Mervin Stewart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</w:t>
        <w:tab/>
        <w:tab/>
        <w:t xml:space="preserve">Velez, Gio Anton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                         </w:t>
        <w:tab/>
        <w:tab/>
        <w:t xml:space="preserve">:    </w:t>
        <w:tab/>
        <w:t xml:space="preserve">S19A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Submission         </w:t>
        <w:tab/>
        <w:t xml:space="preserve">:    </w:t>
        <w:tab/>
        <w:t xml:space="preserve">February 23, 2015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85623"/>
          <w:sz w:val="36"/>
          <w:szCs w:val="36"/>
          <w:rtl w:val="0"/>
        </w:rPr>
        <w:t xml:space="preserve">A</w:t>
        <w:tab/>
        <w:t xml:space="preserve">Quality Control Strategy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85623"/>
          <w:sz w:val="28"/>
          <w:szCs w:val="28"/>
          <w:rtl w:val="0"/>
        </w:rPr>
        <w:t xml:space="preserve">1. Conducting of Code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review for a user story will be conducted once that user story has been completely coded by the development team. During a code review, the quality assurance team will check the following: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Compliance of code with the coding standards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Consistency of the current program with the user stories and specifications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Competency of current program given all possible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Compatibility of code with other modules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85623"/>
          <w:sz w:val="28"/>
          <w:szCs w:val="28"/>
          <w:rtl w:val="0"/>
        </w:rPr>
        <w:t xml:space="preserve">2. Reporting and Monitoring of Code Defects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defects will be recorded in a spreadsheet file. This report will include the following: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Issue Number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 of Issue (file and line number or function, whichever is applicable)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Reported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Reported By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Recommendation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Resolved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Resolved By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85623"/>
          <w:sz w:val="28"/>
          <w:szCs w:val="28"/>
          <w:rtl w:val="0"/>
        </w:rPr>
        <w:t xml:space="preserve">3. Conducting of UI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UI review for a user story will be conducted once that user story has been completely coded by the analyst team. During a UI review, the quality assurance team will check the following: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Compliance of code with the UI standards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Consistency of the current UI with the user stories and specifications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Competency of current UI given all possible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of current UI with model and controller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85623"/>
          <w:sz w:val="28"/>
          <w:szCs w:val="28"/>
          <w:rtl w:val="0"/>
        </w:rPr>
        <w:t xml:space="preserve">4. Reporting and Monitoring of UI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UI Issues will be recorded in a spreadsheet file. This report will include the following: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Issue Number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 of Issue (section of the UI)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Reported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Reported By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Recommendation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Resolved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Resolved By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5623"/>
          <w:sz w:val="36"/>
          <w:szCs w:val="36"/>
          <w:rtl w:val="0"/>
        </w:rPr>
        <w:t xml:space="preserve">B</w:t>
        <w:tab/>
        <w:t xml:space="preserve">Revised 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Figure 2-1 – Revised Entity-Relationship Diagram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467977" cy="7219950"/>
            <wp:effectExtent b="0" l="0" r="0" t="0"/>
            <wp:wrapSquare wrapText="bothSides" distB="0" distT="0" distL="114300" distR="1143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977" cy="7219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5623"/>
          <w:sz w:val="36"/>
          <w:szCs w:val="36"/>
          <w:rtl w:val="0"/>
        </w:rPr>
        <w:t xml:space="preserve">C</w:t>
        <w:tab/>
        <w:t xml:space="preserve">Model-View-Controller 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6784175" cy="5539917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4175" cy="553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Figure C-1. Model Class Diagram</w:t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drawing>
          <wp:inline distB="0" distT="0" distL="0" distR="0">
            <wp:extent cx="8972233" cy="447675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2233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Figure C-2. View-Controller Class Diagram</w:t>
      </w:r>
    </w:p>
    <w:sectPr>
      <w:footerReference r:id="rId9" w:type="default"/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trike w:val="0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strike w:val="0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strike w:val="0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trike w:val="0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strike w:val="0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strike w:val="0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trike w:val="0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strike w:val="0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trike w:val="0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strike w:val="0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strike w:val="0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trike w:val="0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strike w:val="0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strike w:val="0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trike w:val="0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strike w:val="0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strike w:val="0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3.png"/><Relationship Id="rId6" Type="http://schemas.openxmlformats.org/officeDocument/2006/relationships/image" Target="media/image06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