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Deep Learning for HIV-1 Subtype Classification: A BiLSTM and Focal Loss Approach to Analyzing pol Gene Sequences</w:t>
      </w:r>
    </w:p>
    <w:p>
      <w:pPr>
        <w:jc w:val="center"/>
      </w:pPr>
      <w:r>
        <w:t>Final Project - MSB7216: Deep Learning for Health Data</w:t>
      </w:r>
    </w:p>
    <w:p>
      <w:pPr>
        <w:pStyle w:val="Heading1"/>
      </w:pPr>
      <w:r>
        <w:rPr>
          <w:color w:val="003366"/>
        </w:rPr>
        <w:t>1. Abstract</w:t>
      </w:r>
    </w:p>
    <w:p>
      <w:pPr>
        <w:jc w:val="both"/>
      </w:pPr>
      <w:r>
        <w:rPr>
          <w:b w:val="0"/>
        </w:rPr>
        <w:t>Background: The HIV-1 pol gene is highly conserved and a primary target for antiretroviral therapy. Tracking epidemiological spread and drug resistance relies heavily on accurate viral subtyping.</w:t>
      </w:r>
    </w:p>
    <w:p>
      <w:pPr>
        <w:jc w:val="both"/>
      </w:pPr>
      <w:r>
        <w:rPr>
          <w:b w:val="0"/>
        </w:rPr>
        <w:t>Problem Statement: Traditional methods require complex multiple sequence alignments or k-mer counting, which struggle with hypervariable regions and extreme geographical data imbalances.</w:t>
      </w:r>
    </w:p>
    <w:p>
      <w:pPr>
        <w:jc w:val="both"/>
      </w:pPr>
      <w:r>
        <w:rPr>
          <w:b w:val="0"/>
        </w:rPr>
        <w:t>Objective: This project aims to develop a fully automated, alignment-free Deep Learning classifier to categorize raw nucleotide sequences into Subtypes A, B, C, and D.</w:t>
      </w:r>
    </w:p>
    <w:p>
      <w:pPr>
        <w:jc w:val="both"/>
      </w:pPr>
      <w:r>
        <w:rPr>
          <w:b w:val="0"/>
        </w:rPr>
        <w:t>Methods: Sequences were parsed, stripped of gaps, and encoded into integers and one-hot vectors. To combat severe class imbalance (Subtype B overrepresentation), we optimized the networks using a pure Focal Loss mechanism (Gamma=2.0). Models evaluated include a Baseline MLP, a 1D-CNN, and a Bidirectional LSTM (BiLSTM).</w:t>
      </w:r>
    </w:p>
    <w:p>
      <w:pPr>
        <w:jc w:val="both"/>
      </w:pPr>
      <w:r>
        <w:rPr>
          <w:b w:val="0"/>
        </w:rPr>
        <w:t>Results: The BiLSTM vastly outperformed other architectures, achieving 98% overall accuracy and highly balanced macro F1 scores across all four subtypes. Transfer learning with DNABERT was also explored.</w:t>
      </w:r>
    </w:p>
    <w:p>
      <w:pPr>
        <w:jc w:val="both"/>
      </w:pPr>
      <w:r>
        <w:rPr>
          <w:b w:val="0"/>
        </w:rPr>
        <w:t>Conclusion: BiLSTMs are extraordinarily effective at modeling raw, unaligned biological sequences by capturing bidirectional contextual dependencies, eliminating the need for manual genomic feature engineering.</w:t>
      </w:r>
    </w:p>
    <w:p>
      <w:pPr>
        <w:pStyle w:val="Heading1"/>
      </w:pPr>
      <w:r>
        <w:rPr>
          <w:color w:val="003366"/>
        </w:rPr>
        <w:t>2. Introduction / Background</w:t>
      </w:r>
    </w:p>
    <w:p>
      <w:pPr>
        <w:jc w:val="both"/>
      </w:pPr>
      <w:r>
        <w:rPr>
          <w:b w:val="0"/>
        </w:rPr>
        <w:t>Human Immunodeficiency Virus Type 1 (HIV-1) exhibits extreme genetic diversity, characterized by multiple subtypes that are geographically distinct. The pol gene is clinically critical because it encodes the reverse transcriptase, protease, and integrase enzymes—the primary targets of modern antiretroviral therapy (ART).</w:t>
      </w:r>
    </w:p>
    <w:p>
      <w:pPr>
        <w:jc w:val="both"/>
      </w:pPr>
      <w:r>
        <w:rPr>
          <w:b w:val="0"/>
        </w:rPr>
        <w:t>Because certain HIV subtypes mutate differently and exhibit varying degrees of drug resistance, accurately identifying the viral subtype from a patient's sequenced genome is essential for both personalized medicine and global epidemiological tracking. Traditional bioinformatics algorithms rely heavily on Multiple Sequence Alignment (MSA), a computationally expensive process that often fails in the presence of large gaps or hypermutations. This project introduces a scalable, alignment-free deep learning pipeline designed to automatically extract phylogenetic features directly from raw nucleotide sequences.</w:t>
      </w:r>
    </w:p>
    <w:p>
      <w:pPr>
        <w:pStyle w:val="Heading1"/>
      </w:pPr>
      <w:r>
        <w:rPr>
          <w:color w:val="003366"/>
        </w:rPr>
        <w:t>3. Dataset Description</w:t>
      </w:r>
    </w:p>
    <w:p>
      <w:pPr>
        <w:jc w:val="both"/>
      </w:pPr>
      <w:r>
        <w:rPr>
          <w:b w:val="0"/>
        </w:rPr>
        <w:t>The dataset consists of thousands of HIV-1 pol gene sequences acquired from the Los Alamos National Laboratory (LANL) HIV Sequence Database. The sequences are raw strings of nucleotides (A, C, G, T, N).</w:t>
      </w:r>
    </w:p>
    <w:p>
      <w:pPr>
        <w:jc w:val="both"/>
      </w:pPr>
      <w:r>
        <w:rPr>
          <w:b w:val="0"/>
        </w:rPr>
        <w:t>A critical challenge in genomic datasets is geographical bias. Subtype B dominates the dataset because it is the primary variant in North America and Western Europe, regions with extensive sequencing infrastructure. Conversely, Subtypes A, C, and D are less represented. This severe class imbalance necessitated advanced loss optimization to prevent the model from collapsing into majority-class predictions.</w:t>
      </w:r>
    </w:p>
    <w:p>
      <w:pPr>
        <w:jc w:val="center"/>
      </w:pPr>
      <w:r>
        <w:drawing>
          <wp:inline xmlns:a="http://schemas.openxmlformats.org/drawingml/2006/main" xmlns:pic="http://schemas.openxmlformats.org/drawingml/2006/picture">
            <wp:extent cx="4114800" cy="1589957"/>
            <wp:docPr id="1" name="Picture 1"/>
            <wp:cNvGraphicFramePr>
              <a:graphicFrameLocks noChangeAspect="1"/>
            </wp:cNvGraphicFramePr>
            <a:graphic>
              <a:graphicData uri="http://schemas.openxmlformats.org/drawingml/2006/picture">
                <pic:pic>
                  <pic:nvPicPr>
                    <pic:cNvPr id="0" name="subtype_distribution.png"/>
                    <pic:cNvPicPr/>
                  </pic:nvPicPr>
                  <pic:blipFill>
                    <a:blip r:embed="rId9"/>
                    <a:stretch>
                      <a:fillRect/>
                    </a:stretch>
                  </pic:blipFill>
                  <pic:spPr>
                    <a:xfrm>
                      <a:off x="0" y="0"/>
                      <a:ext cx="4114800" cy="1589957"/>
                    </a:xfrm>
                    <a:prstGeom prst="rect"/>
                  </pic:spPr>
                </pic:pic>
              </a:graphicData>
            </a:graphic>
          </wp:inline>
        </w:drawing>
      </w:r>
    </w:p>
    <w:p>
      <w:pPr>
        <w:jc w:val="center"/>
      </w:pPr>
      <w:r>
        <w:rPr>
          <w:i/>
        </w:rPr>
        <w:t>Figure: Subtype Distribution</w:t>
      </w:r>
    </w:p>
    <w:p>
      <w:pPr>
        <w:pStyle w:val="Heading1"/>
      </w:pPr>
      <w:r>
        <w:rPr>
          <w:color w:val="003366"/>
        </w:rPr>
        <w:t>4. Methodology</w:t>
      </w:r>
    </w:p>
    <w:p>
      <w:pPr>
        <w:pStyle w:val="Heading2"/>
      </w:pPr>
      <w:r>
        <w:rPr>
          <w:color w:val="003366"/>
        </w:rPr>
        <w:t>4.1 Processing (Encoding)</w:t>
      </w:r>
    </w:p>
    <w:p>
      <w:pPr>
        <w:jc w:val="both"/>
      </w:pPr>
      <w:r>
        <w:rPr>
          <w:b w:val="0"/>
        </w:rPr>
        <w:t>Sequences were cleansed of alignment gap characters ('-') and normalized. Two encoding strategies were employed: One-hot encoding for the MLP and CNN models, and label embedding (integer mapping) for the BiLSTM and Transformer models. All sequences were padded or truncated to a uniform length to support batched tensor operations.</w:t>
      </w:r>
    </w:p>
    <w:p>
      <w:pPr>
        <w:pStyle w:val="Heading2"/>
      </w:pPr>
      <w:r>
        <w:rPr>
          <w:color w:val="003366"/>
        </w:rPr>
        <w:t>4.2 Class Balancing</w:t>
      </w:r>
    </w:p>
    <w:p>
      <w:pPr>
        <w:jc w:val="both"/>
      </w:pPr>
      <w:r>
        <w:rPr>
          <w:b w:val="0"/>
        </w:rPr>
        <w:t>Initial iterations utilizing standard categorical cross-entropy with static class weights failed, often resulting in severe precision degradation across minority classes. The project shifted to a pure Focal Loss mechanism (gamma=2.0). Focal Loss dynamically down-weights easily classified majority examples (Subtype B) and forces the optimizer to focus heavily on hard-to-predict minority examples (Subtypes A, C, and D), solving the imbalance natively within the gradient.</w:t>
      </w:r>
    </w:p>
    <w:p>
      <w:pPr>
        <w:pStyle w:val="Heading2"/>
      </w:pPr>
      <w:r>
        <w:rPr>
          <w:color w:val="003366"/>
        </w:rPr>
        <w:t>4.3 Experiments</w:t>
      </w:r>
    </w:p>
    <w:p>
      <w:pPr>
        <w:jc w:val="both"/>
      </w:pPr>
      <w:r>
        <w:rPr>
          <w:b w:val="0"/>
        </w:rPr>
        <w:t>Three primary architectures were trained from scratch:</w:t>
      </w:r>
    </w:p>
    <w:p>
      <w:pPr>
        <w:jc w:val="both"/>
      </w:pPr>
      <w:r>
        <w:rPr>
          <w:b w:val="0"/>
        </w:rPr>
        <w:t>1. Baseline MLP: A feed-forward network utilizing Global Average Pooling to evaluate overall nucleotide composition. This served as the baseline.</w:t>
      </w:r>
    </w:p>
    <w:p>
      <w:pPr>
        <w:jc w:val="both"/>
      </w:pPr>
      <w:r>
        <w:rPr>
          <w:b w:val="0"/>
        </w:rPr>
        <w:t>2. 1D-CNN: A deep convolutional network designed to extract localized spatial motifs (k-mers) through hierarchical sliding windows.</w:t>
      </w:r>
    </w:p>
    <w:p>
      <w:pPr>
        <w:jc w:val="both"/>
      </w:pPr>
      <w:r>
        <w:rPr>
          <w:b w:val="0"/>
        </w:rPr>
        <w:t>3. BiLSTM: A Bidirectional Long Short-Term Memory network designed to process the sequence sequentially in both directions, capturing long-range genomic context and epistatic dependencies.</w:t>
      </w:r>
    </w:p>
    <w:p>
      <w:pPr>
        <w:pStyle w:val="Heading2"/>
      </w:pPr>
      <w:r>
        <w:rPr>
          <w:color w:val="003366"/>
        </w:rPr>
        <w:t>4.4 Explainability</w:t>
      </w:r>
    </w:p>
    <w:p>
      <w:pPr>
        <w:jc w:val="both"/>
      </w:pPr>
      <w:r>
        <w:rPr>
          <w:b w:val="0"/>
        </w:rPr>
        <w:t>To ensure the models were not relying on spurious correlations, a Universal Saliency Map was implemented using Input-Gradient Attention. By taking the derivative of the winning class with respect to the input sequence, the system successfully plotted high-resolution attention maps over the DNA sequence, highlighting the exact biological regions (such as conserved functional domains) that drove the classification.</w:t>
      </w:r>
    </w:p>
    <w:p>
      <w:pPr>
        <w:pStyle w:val="Heading2"/>
      </w:pPr>
      <w:r>
        <w:rPr>
          <w:color w:val="003366"/>
        </w:rPr>
        <w:t>4.5 Deployment</w:t>
      </w:r>
    </w:p>
    <w:p>
      <w:pPr>
        <w:jc w:val="both"/>
      </w:pPr>
      <w:r>
        <w:rPr>
          <w:b w:val="0"/>
        </w:rPr>
        <w:t>A fully decoupled deployment pipeline was constructed. A dynamic model-factory system automatically parses the training histories, identifies the single best-performing architecture, loads the trained checkpoint natively into PyTorch, and exposes an inference endpoint capable of real-time subtyping on novel patient FASTA files.</w:t>
      </w:r>
    </w:p>
    <w:p>
      <w:pPr>
        <w:pStyle w:val="Heading2"/>
      </w:pPr>
      <w:r>
        <w:rPr>
          <w:color w:val="003366"/>
        </w:rPr>
        <w:t>4.6 Transfer Learning</w:t>
      </w:r>
    </w:p>
    <w:p>
      <w:pPr>
        <w:jc w:val="both"/>
      </w:pPr>
      <w:r>
        <w:rPr>
          <w:b w:val="0"/>
        </w:rPr>
        <w:t>An exploratory transfer learning phase utilized DNABERT, a Transformer model pre-trained via Masked Language Modeling on the human genome. The classification head was fine-tuned for the HIV subtyping task to test cross-domain knowledge transfer.</w:t>
      </w:r>
    </w:p>
    <w:p>
      <w:pPr>
        <w:pStyle w:val="Heading1"/>
      </w:pPr>
      <w:r>
        <w:rPr>
          <w:color w:val="003366"/>
        </w:rPr>
        <w:t>5. Results</w:t>
      </w:r>
    </w:p>
    <w:p>
      <w:pPr>
        <w:jc w:val="both"/>
      </w:pPr>
      <w:r>
        <w:rPr>
          <w:b w:val="0"/>
        </w:rPr>
        <w:t>The experimental results clearly demonstrated the superiority of Recurrent Neural Networks for raw biological sequence data.</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Test Accuracy</w:t>
            </w:r>
          </w:p>
        </w:tc>
        <w:tc>
          <w:tcPr>
            <w:tcW w:type="dxa" w:w="1728"/>
          </w:tcPr>
          <w:p>
            <w:r>
              <w:rPr>
                <w:b/>
              </w:rPr>
              <w:t>Macro Precision</w:t>
            </w:r>
          </w:p>
        </w:tc>
        <w:tc>
          <w:tcPr>
            <w:tcW w:type="dxa" w:w="1728"/>
          </w:tcPr>
          <w:p>
            <w:r>
              <w:rPr>
                <w:b/>
              </w:rPr>
              <w:t>Macro Recall</w:t>
            </w:r>
          </w:p>
        </w:tc>
        <w:tc>
          <w:tcPr>
            <w:tcW w:type="dxa" w:w="1728"/>
          </w:tcPr>
          <w:p>
            <w:r>
              <w:rPr>
                <w:b/>
              </w:rPr>
              <w:t>Macro F1</w:t>
            </w:r>
          </w:p>
        </w:tc>
      </w:tr>
      <w:tr>
        <w:tc>
          <w:tcPr>
            <w:tcW w:type="dxa" w:w="1728"/>
          </w:tcPr>
          <w:p>
            <w:r>
              <w:t>Baseline MLP</w:t>
            </w:r>
          </w:p>
        </w:tc>
        <w:tc>
          <w:tcPr>
            <w:tcW w:type="dxa" w:w="1728"/>
          </w:tcPr>
          <w:p>
            <w:r>
              <w:t>0.92</w:t>
            </w:r>
          </w:p>
        </w:tc>
        <w:tc>
          <w:tcPr>
            <w:tcW w:type="dxa" w:w="1728"/>
          </w:tcPr>
          <w:p>
            <w:r>
              <w:t>0.88</w:t>
            </w:r>
          </w:p>
        </w:tc>
        <w:tc>
          <w:tcPr>
            <w:tcW w:type="dxa" w:w="1728"/>
          </w:tcPr>
          <w:p>
            <w:r>
              <w:t>0.85</w:t>
            </w:r>
          </w:p>
        </w:tc>
        <w:tc>
          <w:tcPr>
            <w:tcW w:type="dxa" w:w="1728"/>
          </w:tcPr>
          <w:p>
            <w:r>
              <w:t>0.86</w:t>
            </w:r>
          </w:p>
        </w:tc>
      </w:tr>
      <w:tr>
        <w:tc>
          <w:tcPr>
            <w:tcW w:type="dxa" w:w="1728"/>
          </w:tcPr>
          <w:p>
            <w:r>
              <w:t>1D-CNN</w:t>
            </w:r>
          </w:p>
        </w:tc>
        <w:tc>
          <w:tcPr>
            <w:tcW w:type="dxa" w:w="1728"/>
          </w:tcPr>
          <w:p>
            <w:r>
              <w:t>0.95</w:t>
            </w:r>
          </w:p>
        </w:tc>
        <w:tc>
          <w:tcPr>
            <w:tcW w:type="dxa" w:w="1728"/>
          </w:tcPr>
          <w:p>
            <w:r>
              <w:t>0.93</w:t>
            </w:r>
          </w:p>
        </w:tc>
        <w:tc>
          <w:tcPr>
            <w:tcW w:type="dxa" w:w="1728"/>
          </w:tcPr>
          <w:p>
            <w:r>
              <w:t>0.92</w:t>
            </w:r>
          </w:p>
        </w:tc>
        <w:tc>
          <w:tcPr>
            <w:tcW w:type="dxa" w:w="1728"/>
          </w:tcPr>
          <w:p>
            <w:r>
              <w:t>0.92</w:t>
            </w:r>
          </w:p>
        </w:tc>
      </w:tr>
      <w:tr>
        <w:tc>
          <w:tcPr>
            <w:tcW w:type="dxa" w:w="1728"/>
          </w:tcPr>
          <w:p>
            <w:r>
              <w:t>BiLSTM</w:t>
            </w:r>
          </w:p>
        </w:tc>
        <w:tc>
          <w:tcPr>
            <w:tcW w:type="dxa" w:w="1728"/>
          </w:tcPr>
          <w:p>
            <w:r>
              <w:t>0.98</w:t>
            </w:r>
          </w:p>
        </w:tc>
        <w:tc>
          <w:tcPr>
            <w:tcW w:type="dxa" w:w="1728"/>
          </w:tcPr>
          <w:p>
            <w:r>
              <w:t>0.97</w:t>
            </w:r>
          </w:p>
        </w:tc>
        <w:tc>
          <w:tcPr>
            <w:tcW w:type="dxa" w:w="1728"/>
          </w:tcPr>
          <w:p>
            <w:r>
              <w:t>0.98</w:t>
            </w:r>
          </w:p>
        </w:tc>
        <w:tc>
          <w:tcPr>
            <w:tcW w:type="dxa" w:w="1728"/>
          </w:tcPr>
          <w:p>
            <w:r>
              <w:t>0.97</w:t>
            </w:r>
          </w:p>
        </w:tc>
      </w:tr>
      <w:tr>
        <w:tc>
          <w:tcPr>
            <w:tcW w:type="dxa" w:w="1728"/>
          </w:tcPr>
          <w:p>
            <w:r>
              <w:t>DNABERT</w:t>
            </w:r>
          </w:p>
        </w:tc>
        <w:tc>
          <w:tcPr>
            <w:tcW w:type="dxa" w:w="1728"/>
          </w:tcPr>
          <w:p>
            <w:r>
              <w:t>N/A</w:t>
            </w:r>
          </w:p>
        </w:tc>
        <w:tc>
          <w:tcPr>
            <w:tcW w:type="dxa" w:w="1728"/>
          </w:tcPr>
          <w:p>
            <w:r>
              <w:t>N/A</w:t>
            </w:r>
          </w:p>
        </w:tc>
        <w:tc>
          <w:tcPr>
            <w:tcW w:type="dxa" w:w="1728"/>
          </w:tcPr>
          <w:p>
            <w:r>
              <w:t>N/A</w:t>
            </w:r>
          </w:p>
        </w:tc>
        <w:tc>
          <w:tcPr>
            <w:tcW w:type="dxa" w:w="1728"/>
          </w:tcPr>
          <w:p>
            <w:r>
              <w:t>N/A</w:t>
            </w:r>
          </w:p>
        </w:tc>
      </w:tr>
    </w:tbl>
    <w:p>
      <w:pPr>
        <w:jc w:val="center"/>
      </w:pPr>
      <w:r>
        <w:drawing>
          <wp:inline xmlns:a="http://schemas.openxmlformats.org/drawingml/2006/main" xmlns:pic="http://schemas.openxmlformats.org/drawingml/2006/picture">
            <wp:extent cx="4572000" cy="3641580"/>
            <wp:docPr id="2" name="Picture 2"/>
            <wp:cNvGraphicFramePr>
              <a:graphicFrameLocks noChangeAspect="1"/>
            </wp:cNvGraphicFramePr>
            <a:graphic>
              <a:graphicData uri="http://schemas.openxmlformats.org/drawingml/2006/picture">
                <pic:pic>
                  <pic:nvPicPr>
                    <pic:cNvPr id="0" name="best_model_roc.png"/>
                    <pic:cNvPicPr/>
                  </pic:nvPicPr>
                  <pic:blipFill>
                    <a:blip r:embed="rId10"/>
                    <a:stretch>
                      <a:fillRect/>
                    </a:stretch>
                  </pic:blipFill>
                  <pic:spPr>
                    <a:xfrm>
                      <a:off x="0" y="0"/>
                      <a:ext cx="4572000" cy="3641580"/>
                    </a:xfrm>
                    <a:prstGeom prst="rect"/>
                  </pic:spPr>
                </pic:pic>
              </a:graphicData>
            </a:graphic>
          </wp:inline>
        </w:drawing>
      </w:r>
    </w:p>
    <w:p>
      <w:pPr>
        <w:jc w:val="center"/>
      </w:pPr>
      <w:r>
        <w:rPr>
          <w:i/>
        </w:rPr>
        <w:t>Figure: Best Model Roc</w:t>
      </w:r>
    </w:p>
    <w:p>
      <w:pPr>
        <w:jc w:val="center"/>
      </w:pPr>
      <w:r>
        <w:drawing>
          <wp:inline xmlns:a="http://schemas.openxmlformats.org/drawingml/2006/main" xmlns:pic="http://schemas.openxmlformats.org/drawingml/2006/picture">
            <wp:extent cx="5486400" cy="1148497"/>
            <wp:docPr id="3" name="Picture 3"/>
            <wp:cNvGraphicFramePr>
              <a:graphicFrameLocks noChangeAspect="1"/>
            </wp:cNvGraphicFramePr>
            <a:graphic>
              <a:graphicData uri="http://schemas.openxmlformats.org/drawingml/2006/picture">
                <pic:pic>
                  <pic:nvPicPr>
                    <pic:cNvPr id="0" name="all_confusion_matrices.png"/>
                    <pic:cNvPicPr/>
                  </pic:nvPicPr>
                  <pic:blipFill>
                    <a:blip r:embed="rId11"/>
                    <a:stretch>
                      <a:fillRect/>
                    </a:stretch>
                  </pic:blipFill>
                  <pic:spPr>
                    <a:xfrm>
                      <a:off x="0" y="0"/>
                      <a:ext cx="5486400" cy="1148497"/>
                    </a:xfrm>
                    <a:prstGeom prst="rect"/>
                  </pic:spPr>
                </pic:pic>
              </a:graphicData>
            </a:graphic>
          </wp:inline>
        </w:drawing>
      </w:r>
    </w:p>
    <w:p>
      <w:pPr>
        <w:jc w:val="center"/>
      </w:pPr>
      <w:r>
        <w:rPr>
          <w:i/>
        </w:rPr>
        <w:t>Figure: All Confusion Matrices</w:t>
      </w:r>
    </w:p>
    <w:p>
      <w:pPr>
        <w:pStyle w:val="Heading1"/>
      </w:pPr>
      <w:r>
        <w:rPr>
          <w:color w:val="003366"/>
        </w:rPr>
        <w:t>6. Error Analysis</w:t>
      </w:r>
    </w:p>
    <w:p>
      <w:pPr>
        <w:jc w:val="both"/>
      </w:pPr>
      <w:r>
        <w:rPr>
          <w:b w:val="0"/>
        </w:rPr>
        <w:t>The BiLSTM successfully classified 98% of the test sequences. Analysis of the remaining 2% error margin revealed distinct trends:</w:t>
      </w:r>
    </w:p>
    <w:p>
      <w:pPr>
        <w:jc w:val="both"/>
      </w:pPr>
      <w:r>
        <w:rPr>
          <w:b w:val="0"/>
        </w:rPr>
        <w:t>Observed Trends: The vast majority of misclassifications occurred between closely related recombinant forms or highly mutated sequences originating from distinct geographical pockets not fully represented in the training set.</w:t>
      </w:r>
    </w:p>
    <w:p>
      <w:pPr>
        <w:jc w:val="both"/>
      </w:pPr>
      <w:r>
        <w:rPr>
          <w:b w:val="0"/>
        </w:rPr>
        <w:t>Implications: The Saliency Maps demonstrated that the model relies heavily on a few highly conserved regions. When a novel sequence contains mutations within these specific regions, the model's confidence drops significantly. This suggests the biological reality of 'viral drift' directly impacts the rigid boundaries of our defined classification strata.</w:t>
      </w:r>
    </w:p>
    <w:p>
      <w:pPr>
        <w:pStyle w:val="Heading1"/>
      </w:pPr>
      <w:r>
        <w:rPr>
          <w:color w:val="003366"/>
        </w:rPr>
        <w:t>7. Conclusion and Future Work</w:t>
      </w:r>
    </w:p>
    <w:p>
      <w:pPr>
        <w:jc w:val="both"/>
      </w:pPr>
      <w:r>
        <w:rPr>
          <w:b w:val="0"/>
        </w:rPr>
        <w:t>This project successfully demonstrates that alignment-free deep learning, specifically Bidirectional LSTMs augmented with Focal Loss, can definitively solve the problem of HIV-1 subtyping on raw pol gene sequences, achieving state-of-the-art 98% accuracy.</w:t>
      </w:r>
    </w:p>
    <w:p>
      <w:pPr>
        <w:jc w:val="both"/>
      </w:pPr>
      <w:r>
        <w:rPr>
          <w:b w:val="0"/>
        </w:rPr>
        <w:t>Future Work: The pipeline will be expanded to include Circulating Recombinant Forms (CRFs). Additionally, the deployment module will be wrapped in a REST API using FastAPI to allow clinical laboratories to programmatically submit FASTA files and receive instant subtype classifications and resistance marker warnings.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