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400"/>
        <w:jc w:val="center"/>
      </w:pPr>
      <w:r>
        <w:rPr>
          <w:rFonts w:ascii="Arial" w:cs="Arial" w:eastAsia="Arial" w:hAnsi="Arial"/>
          <w:b/>
          <w:bCs/>
          <w:color w:val="2C3E50"/>
          <w:sz w:val="56"/>
          <w:szCs w:val="56"/>
        </w:rPr>
        <w:t xml:space="preserve">Ästhetische Gesichtsanalyse</w:t>
      </w:r>
    </w:p>
    <w:p>
      <w:pPr>
        <w:spacing w:after="200"/>
        <w:jc w:val="center"/>
      </w:pPr>
      <w:r>
        <w:rPr>
          <w:rFonts w:ascii="Arial" w:cs="Arial" w:eastAsia="Arial" w:hAnsi="Arial"/>
          <w:b/>
          <w:bCs/>
          <w:color w:val="2C3E50"/>
          <w:sz w:val="56"/>
          <w:szCs w:val="56"/>
        </w:rPr>
        <w:t xml:space="preserve">und Behandlungsplanung</w:t>
      </w:r>
    </w:p>
    <w:p>
      <w:pPr>
        <w:spacing w:before="400"/>
      </w:pPr>
    </w:p>
    <w:p>
      <w:pPr>
        <w:spacing w:after="200"/>
        <w:jc w:val="center"/>
      </w:pPr>
      <w:r>
        <w:rPr>
          <w:rFonts w:ascii="Arial" w:cs="Arial" w:eastAsia="Arial" w:hAnsi="Arial"/>
          <w:i/>
          <w:iCs/>
          <w:color w:val="5D6D7E"/>
          <w:sz w:val="28"/>
          <w:szCs w:val="28"/>
        </w:rPr>
        <w:t xml:space="preserve">Ein systematischer Ansatz für die ästhetische Medizin</w:t>
      </w:r>
    </w:p>
    <w:p>
      <w:pPr>
        <w:spacing w:before="2000"/>
      </w:pPr>
    </w:p>
    <w:p>
      <w:pPr>
        <w:jc w:val="center"/>
      </w:pPr>
      <w:r>
        <w:rPr>
          <w:rFonts w:ascii="Arial" w:cs="Arial" w:eastAsia="Arial" w:hAnsi="Arial"/>
          <w:color w:val="5D6D7E"/>
          <w:sz w:val="28"/>
          <w:szCs w:val="28"/>
        </w:rPr>
        <w:t xml:space="preserve">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b/>
          <w:bCs/>
        </w:rPr>
        <w:t xml:space="preserve">Inhaltsverzeichnis</w:t>
      </w:r>
    </w:p>
    <w:sdt>
      <w:sdtPr>
        <w:alias w:val="Inhaltsverzeichni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b/>
          <w:bCs/>
        </w:rPr>
        <w:t xml:space="preserve">Teil I — Grundlagen</w:t>
      </w:r>
    </w:p>
    <w:p>
      <w:pPr>
        <w:pStyle w:val="Heading1"/>
        <w:spacing w:after="240" w:before="480"/>
      </w:pPr>
      <w:r>
        <w:rPr>
          <w:b/>
          <w:bCs/>
        </w:rPr>
        <w:t xml:space="preserve">Kapitel 1: Einführung in die ästhetische Gesichtsanalyse</w:t>
      </w:r>
    </w:p>
    <w:p>
      <w:pPr>
        <w:spacing w:after="120"/>
        <w:jc w:val="left"/>
      </w:pPr>
      <w:r>
        <w:rPr>
          <w:i/>
          <w:iCs/>
          <w:color w:val="888888"/>
        </w:rPr>
        <w:t xml:space="preserve">Inhalt folgt in einer späteren Ausgabe.</w:t>
      </w:r>
    </w:p>
    <w:p>
      <w:pPr>
        <w:pStyle w:val="Heading2"/>
        <w:spacing w:after="180" w:before="360"/>
      </w:pPr>
      <w:r>
        <w:rPr>
          <w:b/>
          <w:bCs/>
        </w:rPr>
        <w:t xml:space="preserve">1.1 Historischer Kontext</w:t>
      </w:r>
    </w:p>
    <w:p>
      <w:pPr>
        <w:spacing w:after="120"/>
        <w:jc w:val="left"/>
      </w:pPr>
      <w:r>
        <w:rPr>
          <w:i/>
          <w:iCs/>
          <w:color w:val="888888"/>
        </w:rPr>
        <w:t xml:space="preserve">Inhalt folgt in einer späteren Ausgabe.</w:t>
      </w:r>
    </w:p>
    <w:p>
      <w:pPr>
        <w:pStyle w:val="Heading2"/>
        <w:spacing w:after="180" w:before="360"/>
      </w:pPr>
      <w:r>
        <w:rPr>
          <w:b/>
          <w:bCs/>
        </w:rPr>
        <w:t xml:space="preserve">1.2 Standardisierte Fotografie</w:t>
      </w:r>
    </w:p>
    <w:p>
      <w:pPr>
        <w:spacing w:after="120"/>
        <w:jc w:val="left"/>
      </w:pPr>
      <w:r>
        <w:rPr>
          <w:i/>
          <w:iCs/>
          <w:color w:val="888888"/>
        </w:rPr>
        <w:t xml:space="preserve">Inhalt folgt in einer späteren Ausgabe.</w:t>
      </w:r>
    </w:p>
    <w:p>
      <w:pPr>
        <w:pStyle w:val="Heading2"/>
        <w:spacing w:after="180" w:before="360"/>
      </w:pPr>
      <w:r>
        <w:rPr>
          <w:b/>
          <w:bCs/>
        </w:rPr>
        <w:t xml:space="preserve">1.3 KI-gestützte Analyse</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Kapitel 2: Anatomische Grundlagen</w:t>
      </w:r>
    </w:p>
    <w:p>
      <w:pPr>
        <w:spacing w:after="120"/>
        <w:jc w:val="left"/>
      </w:pPr>
      <w:r>
        <w:rPr>
          <w:i/>
          <w:iCs/>
          <w:color w:val="888888"/>
        </w:rPr>
        <w:t xml:space="preserve">Inhalt folgt in einer späteren Ausgabe.</w:t>
      </w:r>
    </w:p>
    <w:p>
      <w:pPr>
        <w:pStyle w:val="Heading2"/>
        <w:spacing w:after="180" w:before="360"/>
      </w:pPr>
      <w:r>
        <w:rPr>
          <w:b/>
          <w:bCs/>
        </w:rPr>
        <w:t xml:space="preserve">2.1 Gesichtsknochen und Retaining Ligaments</w:t>
      </w:r>
    </w:p>
    <w:p>
      <w:pPr>
        <w:spacing w:after="120"/>
        <w:jc w:val="left"/>
      </w:pPr>
      <w:r>
        <w:rPr>
          <w:i/>
          <w:iCs/>
          <w:color w:val="888888"/>
        </w:rPr>
        <w:t xml:space="preserve">Inhalt folgt in einer späteren Ausgabe.</w:t>
      </w:r>
    </w:p>
    <w:p>
      <w:pPr>
        <w:pStyle w:val="Heading2"/>
        <w:spacing w:after="180" w:before="360"/>
      </w:pPr>
      <w:r>
        <w:rPr>
          <w:b/>
          <w:bCs/>
        </w:rPr>
        <w:t xml:space="preserve">2.2 Fettkompartimente</w:t>
      </w:r>
    </w:p>
    <w:p>
      <w:pPr>
        <w:spacing w:after="120"/>
        <w:jc w:val="left"/>
      </w:pPr>
      <w:r>
        <w:rPr>
          <w:i/>
          <w:iCs/>
          <w:color w:val="888888"/>
        </w:rPr>
        <w:t xml:space="preserve">Inhalt folgt in einer späteren Ausgabe.</w:t>
      </w:r>
    </w:p>
    <w:p>
      <w:pPr>
        <w:pStyle w:val="Heading2"/>
        <w:spacing w:after="180" w:before="360"/>
      </w:pPr>
      <w:r>
        <w:rPr>
          <w:b/>
          <w:bCs/>
        </w:rPr>
        <w:t xml:space="preserve">2.3 Vaskuläre Anatomie und Danger Zones</w:t>
      </w:r>
    </w:p>
    <w:p>
      <w:pPr>
        <w:spacing w:after="120"/>
        <w:jc w:val="left"/>
      </w:pPr>
      <w:r>
        <w:rPr>
          <w:i/>
          <w:iCs/>
          <w:color w:val="888888"/>
        </w:rPr>
        <w:t xml:space="preserve">Inhalt folgt in einer späteren Ausgabe.</w:t>
      </w:r>
    </w:p>
    <w:p>
      <w:pPr>
        <w:pStyle w:val="Heading2"/>
        <w:spacing w:after="180" w:before="360"/>
      </w:pPr>
      <w:r>
        <w:rPr>
          <w:b/>
          <w:bCs/>
        </w:rPr>
        <w:t xml:space="preserve">2.4 Mimische Muskulatur</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Kapitel 3: Landmark-basierte Gesichtsvermessung</w:t>
      </w:r>
    </w:p>
    <w:p>
      <w:pPr>
        <w:spacing w:after="120"/>
        <w:jc w:val="left"/>
      </w:pPr>
      <w:r>
        <w:rPr>
          <w:i/>
          <w:iCs/>
          <w:color w:val="888888"/>
        </w:rPr>
        <w:t xml:space="preserve">Inhalt folgt in einer späteren Ausgabe.</w:t>
      </w:r>
    </w:p>
    <w:p>
      <w:pPr>
        <w:pStyle w:val="Heading2"/>
        <w:spacing w:after="180" w:before="360"/>
      </w:pPr>
      <w:r>
        <w:rPr>
          <w:b/>
          <w:bCs/>
        </w:rPr>
        <w:t xml:space="preserve">3.1 Das 478-Punkt-Landmarksystem</w:t>
      </w:r>
    </w:p>
    <w:p>
      <w:pPr>
        <w:spacing w:after="120"/>
        <w:jc w:val="left"/>
      </w:pPr>
      <w:r>
        <w:rPr>
          <w:i/>
          <w:iCs/>
          <w:color w:val="888888"/>
        </w:rPr>
        <w:t xml:space="preserve">Inhalt folgt in einer späteren Ausgabe.</w:t>
      </w:r>
    </w:p>
    <w:p>
      <w:pPr>
        <w:pStyle w:val="Heading2"/>
        <w:spacing w:after="180" w:before="360"/>
      </w:pPr>
      <w:r>
        <w:rPr>
          <w:b/>
          <w:bCs/>
        </w:rPr>
        <w:t xml:space="preserve">3.2 Anatomische Gruppen</w:t>
      </w:r>
    </w:p>
    <w:p>
      <w:pPr>
        <w:spacing w:after="120"/>
        <w:jc w:val="left"/>
      </w:pPr>
      <w:r>
        <w:rPr>
          <w:i/>
          <w:iCs/>
          <w:color w:val="888888"/>
        </w:rPr>
        <w:t xml:space="preserve">Inhalt folgt in einer späteren Ausgabe.</w:t>
      </w:r>
    </w:p>
    <w:p>
      <w:pPr>
        <w:pStyle w:val="Heading2"/>
        <w:spacing w:after="180" w:before="360"/>
      </w:pPr>
      <w:r>
        <w:rPr>
          <w:b/>
          <w:bCs/>
        </w:rPr>
        <w:t xml:space="preserve">3.3 Iris-basierte Kalibrierung</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Teil II — Analysemethoden</w:t>
      </w:r>
    </w:p>
    <w:p>
      <w:pPr>
        <w:pStyle w:val="Heading1"/>
        <w:spacing w:after="240" w:before="480"/>
      </w:pPr>
      <w:r>
        <w:rPr>
          <w:b/>
          <w:bCs/>
        </w:rPr>
        <w:t xml:space="preserve">Kapitel 4: Symmetrieanalyse</w:t>
      </w:r>
    </w:p>
    <w:p>
      <w:pPr>
        <w:spacing w:after="120"/>
        <w:jc w:val="left"/>
      </w:pPr>
      <w:r>
        <w:t xml:space="preserve">Die bilaterale Gesichtssymmetrie ist einer der fundamentalsten Parameter der aesthetischen Gesichtsanalyse. Kein menschliches Gesicht ist perfekt symmetrisch — physiologische Asymmetrien von 2–3 % gelten als normal und tragen zur individuellen Attraktivitaet bei. Klinisch relevant werden Asymmetrien erst ab definierten Schwellenwerten, die auf die Wahrnehmungsforschung und klinische Erfahrungswerte zurueckgehen.</w:t>
      </w:r>
    </w:p>
    <w:p>
      <w:pPr>
        <w:spacing w:after="120"/>
        <w:jc w:val="left"/>
      </w:pPr>
      <w:r>
        <w:t xml:space="preserve">Die Symmetrieanalyse des Aesthetic Biometrics Engine misst die bilaterale Symmetrie entlang sechs anatomischer Achsen und ergaenzt diese durch eine dynamische Asymmetrieanalyse auf Basis von Blendshape-Koeffizienten. Alle Messungen werden in kalibrierten Millimetern (via Iris-Kalibrierung, vgl. Kapitel 3) durchgefuehrt, um klinisch verwertbare Aussagen zu ermoeglichen.</w:t>
      </w:r>
    </w:p>
    <w:p>
      <w:pPr>
        <w:pStyle w:val="Heading2"/>
        <w:spacing w:after="180" w:before="360"/>
      </w:pPr>
      <w:r>
        <w:rPr>
          <w:b/>
          <w:bCs/>
        </w:rPr>
        <w:t xml:space="preserve">4.1 Median-Sagittallinie und Symmetrieachsen</w:t>
      </w:r>
    </w:p>
    <w:p>
      <w:pPr>
        <w:spacing w:after="120"/>
        <w:jc w:val="left"/>
      </w:pPr>
      <w:r>
        <w:t xml:space="preserve">Die Median-Sagittallinie ist die vertikale Referenzlinie, die das Gesicht in eine rechte und linke Haelfte teilt. Sie verlaeuft durch die Midline-Landmarks: Trichion (Haaransatz-Approximation, Landmark 10), Glabella (Landmark 9), Pronasale (Nasenspitze, Landmark 4), Subnasale (Landmark 2), Stomion (Mundspalte, Landmark 13) und Gnathion (Kinnpunkt, Landmark 152).</w:t>
      </w:r>
    </w:p>
    <w:p>
      <w:pPr>
        <w:spacing w:after="120"/>
        <w:jc w:val="left"/>
      </w:pPr>
      <w:r>
        <w:t xml:space="preserve">Gegen diese Referenzlinie werden sechs Symmetrieachsen gemessen, die jeweils bilateral gepaarte Strukturen vergleichen:</w:t>
      </w:r>
    </w:p>
    <w:p>
      <w:pPr>
        <w:spacing w:after="120"/>
        <w:jc w:val="left"/>
      </w:pPr>
      <w:r>
        <w:rPr>
          <w:b/>
          <w:bCs/>
        </w:rPr>
        <w:t xml:space="preserve">Tabelle 4.1: Die sechs Symmetrieachsen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600"/>
        <w:gridCol w:w="1600"/>
        <w:gridCol w:w="1600"/>
        <w:gridCol w:w="1400"/>
        <w:gridCol w:w="2760"/>
      </w:tblGrid>
      <w:tr>
        <w:tc>
          <w:tcPr>
            <w:tcW w:type="dxa" w:w="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Nr.</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Achse</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Linker Landmark</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Rechter Landmark</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Referenz</w:t>
            </w:r>
          </w:p>
        </w:tc>
        <w:tc>
          <w:tcPr>
            <w:tcW w:type="dxa" w:w="2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282 (Brauenpeak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52 (Brauenpeak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 (9)</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Brauenhoehe relativ zur Glabella</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263/466 (Augeninnen/aussen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33/246 (Augeninnen/aussen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Lidspaltenbreite (Fissura palpebralis)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cheekbone_height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330 (Jochbein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 (Jochbein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Pronasale (4)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Jochbeinhoehe relativ zur Nasenspitze</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nasolabial_region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Alar/Mundwinkel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Alar/Mundwinkel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Alar-Mundwinkel-Distanz (Nasolabialregion)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mouth_corner_height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291 (Mundwinkel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61 (Mundwinkel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Stomion (13)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 Mundwinkelposition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Gnathion (152)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Kieferwinkelhoehe relativ zum Kinn</w:t>
            </w:r>
          </w:p>
        </w:tc>
      </w:tr>
    </w:tbl>
    <w:p>
      <w:pPr>
        <w:spacing w:after="120"/>
        <w:jc w:val="left"/>
      </w:pPr>
      <w:r>
        <w:t xml:space="preserve">Fuer jede Achse werden zwei Messtypen verwendet:</w:t>
      </w:r>
    </w:p>
    <w:p>
      <w:pPr>
        <w:spacing w:after="120"/>
        <w:ind w:left="360"/>
        <w:jc w:val="left"/>
      </w:pPr>
      <w:r>
        <w:t xml:space="preserve">• Hoehenbasierte Messung: Vertikale Distanz eines bilateralen Landmarks zum Midline-Referenzpunkt (Achsen 1, 3, 5, 6). Berechnung: |y_Landmark − y_Referenz| in Pixel, konvertiert ueber Kalibrierung zu mm.</w:t>
      </w:r>
    </w:p>
    <w:p>
      <w:pPr>
        <w:spacing w:after="120"/>
        <w:ind w:left="360"/>
        <w:jc w:val="left"/>
      </w:pPr>
      <w:r>
        <w:t xml:space="preserve">• Distanzbasierte Messung: Euklidische 2D-Distanz zwischen zwei Landmarks einer Seite (Achsen 2, 4). Berechnung: √((x₂−x₁)² + (y₂−y₁)²) in Pixel, konvertiert zu mm.</w:t>
      </w:r>
    </w:p>
    <w:p>
      <w:pPr>
        <w:spacing w:after="120"/>
        <w:jc w:val="left"/>
      </w:pPr>
      <w:r>
        <w:t xml:space="preserve">Die Differenz wird sowohl absolut (in mm) als auch relativ (in Prozent des Mittelwerts beider Seiten) angegeben: diff_pct = (diff_mm / avg_mm) × 100.</w:t>
      </w:r>
    </w:p>
    <w:p>
      <w:pPr>
        <w:pStyle w:val="Heading2"/>
        <w:spacing w:after="180" w:before="360"/>
      </w:pPr>
      <w:r>
        <w:rPr>
          <w:b/>
          <w:bCs/>
        </w:rPr>
        <w:t xml:space="preserve">4.2 Bilaterale Symmetrie: klinische Schwellenwerte</w:t>
      </w:r>
    </w:p>
    <w:p>
      <w:pPr>
        <w:spacing w:after="120"/>
        <w:jc w:val="left"/>
      </w:pPr>
      <w:r>
        <w:t xml:space="preserve">Die klinische Signifikanz einer Asymmetrie wird durch zwei unabhaengige Schwellenwerte definiert:</w:t>
      </w:r>
    </w:p>
    <w:p>
      <w:pPr>
        <w:spacing w:after="120"/>
        <w:jc w:val="left"/>
      </w:pPr>
      <w:r>
        <w:rPr>
          <w:b/>
          <w:bCs/>
        </w:rPr>
        <w:t xml:space="preserve">Tabelle 4.2: Schwellenwerte fuer klinische Signifikanz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38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3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3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Bedeutung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SIGNIFICANCE_THRESHOLD_MM</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2,0 mm</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Absolute Differenz, die vom menschlichen Auge als Asymmetrie wahrgenommen wird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SIGNIFICANCE_THRESHOLD_PCT</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8,0 %</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Relative Differenz bezogen auf den Mittelwert beider Seiten</w:t>
            </w:r>
          </w:p>
        </w:tc>
      </w:tr>
    </w:tbl>
    <w:p>
      <w:pPr>
        <w:spacing w:after="120"/>
        <w:jc w:val="left"/>
      </w:pPr>
      <w:r>
        <w:t xml:space="preserve">Eine Messung wird als klinisch signifikant markiert (is_clinically_significant = true), wenn EINER der beiden Schwellenwerte ueberschritten wird. Dieses ODER-Kriterium stellt sicher, dass sowohl kleine Gesichter (wo 2 mm relativ viel sind) als auch grosse Gesichter (wo 8 % absolut mehr als 2 mm sein koennen) korrekt erfasst werden.</w:t>
      </w:r>
    </w:p>
    <w:p>
      <w:pPr>
        <w:spacing w:after="120"/>
        <w:jc w:val="left"/>
      </w:pPr>
      <w:r>
        <w:rPr>
          <w:b/>
          <w:bCs/>
        </w:rPr>
        <w:t xml:space="preserve">Klinische Einordnung der Asymmetrie:</w:t>
      </w:r>
    </w:p>
    <w:p>
      <w:pPr>
        <w:spacing w:after="120"/>
        <w:ind w:left="360"/>
        <w:jc w:val="left"/>
      </w:pPr>
      <w:r>
        <w:t xml:space="preserve">• &lt; 3 % Differenz: Physiologische Asymmetrie — keine Behandlungsindikation</w:t>
      </w:r>
    </w:p>
    <w:p>
      <w:pPr>
        <w:spacing w:after="120"/>
        <w:ind w:left="360"/>
        <w:jc w:val="left"/>
      </w:pPr>
      <w:r>
        <w:t xml:space="preserve">• 3–5 % Differenz: Subklinische Asymmetrie — bei Patientenwunsch behandelbar</w:t>
      </w:r>
    </w:p>
    <w:p>
      <w:pPr>
        <w:spacing w:after="120"/>
        <w:ind w:left="360"/>
        <w:jc w:val="left"/>
      </w:pPr>
      <w:r>
        <w:t xml:space="preserve">• 5–8 % Differenz: Moderate Asymmetrie — behandlungsrelevant</w:t>
      </w:r>
    </w:p>
    <w:p>
      <w:pPr>
        <w:spacing w:after="120"/>
        <w:ind w:left="360"/>
        <w:jc w:val="left"/>
      </w:pPr>
      <w:r>
        <w:t xml:space="preserve">• &gt; 8 % Differenz: Ausgepraegt — Abklaerung zugrunde liegender Pathologien empfohlen (vgl. Kapitel 14, Extreme Asymmetrie)</w:t>
      </w:r>
    </w:p>
    <w:p>
      <w:pPr>
        <w:pStyle w:val="Heading3"/>
        <w:spacing w:after="120" w:before="240"/>
      </w:pPr>
      <w:r>
        <w:rPr>
          <w:b/>
          <w:bCs/>
        </w:rPr>
        <w:t xml:space="preserve">4.2.1 Globaler Symmetrie-Index</w:t>
      </w:r>
    </w:p>
    <w:p>
      <w:pPr>
        <w:spacing w:after="120"/>
        <w:jc w:val="left"/>
      </w:pPr>
      <w:r>
        <w:t xml:space="preserve">Der globale Symmetrie-Index fasst alle sechs Achsen zu einem Score von 0 bis 100 zusammen (100 = perfekte Symmetrie). Die Berechnung erfolgt gewichtet, da nicht alle Achsen die gleiche klinische Bedeutung haben:</w:t>
      </w:r>
    </w:p>
    <w:p>
      <w:pPr>
        <w:spacing w:after="120"/>
        <w:jc w:val="left"/>
      </w:pPr>
      <w:r>
        <w:rPr>
          <w:b/>
          <w:bCs/>
        </w:rPr>
        <w:t xml:space="preserve">Tabelle 4.3: Achsengewichte fuer den globalen Symmetrie-Index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55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Achse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Gewicht</w:t>
            </w:r>
          </w:p>
        </w:tc>
        <w:tc>
          <w:tcPr>
            <w:tcW w:type="dxa" w:w="5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Begruendung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Baseline-Gewicht; moderate visuelle Auswirkung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eye_width</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Hoeher gewichtet: Augenregion ist zentraler Blickfang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cheekbone_height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Hoechste Gewichtung: Mittelgesichtssymmetrie dominiert den Gesamteindruck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nasolabial_region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Nasolabial-Asymmetrie faellt auf, besonders beim Laecheln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mouth_corner_height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Baseline; Mundwinkel-Downturn separat in Zone Lp3 erfasst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Niedrigste Gewichtung: Kieferkontur weniger sichtbar als Mittelgesicht</w:t>
            </w:r>
          </w:p>
        </w:tc>
      </w:tr>
    </w:tbl>
    <w:p>
      <w:pPr>
        <w:spacing w:after="120"/>
        <w:jc w:val="left"/>
      </w:pPr>
      <w:r>
        <w:t xml:space="preserve">Berechnung: Fuer jede Achse wird die prozentuale Abweichung auf einen Maximalwert von 15 % normalisiert (Abweichungen &gt; 15 % erhalten die maximale Bestrafung). Der gewichtete Durchschnitt aller normalisierten Abweichungen wird von 1,0 subtrahiert und mit 100 multipliziert:</w:t>
      </w:r>
    </w:p>
    <w:p>
      <w:pPr>
        <w:spacing w:after="120"/>
        <w:jc w:val="left"/>
      </w:pPr>
      <w:r>
        <w:rPr>
          <w:b/>
          <w:bCs/>
        </w:rPr>
        <w:t xml:space="preserve">Symmetrie-Index = max(0, (1 − gewichteter_Durchschnitt) × 100)</w:t>
      </w:r>
    </w:p>
    <w:p>
      <w:pPr>
        <w:spacing w:after="120"/>
        <w:jc w:val="left"/>
      </w:pPr>
      <w:r>
        <w:t xml:space="preserve">Interpretation: Ein Score von 95–100 zeigt exzellente Symmetrie. Werte zwischen 85 und 94 sind im Normalbereich. Unter 85 sollte eine gezielte Analyse der betroffenen Achsen erfolgen. Werte unter 70 deuten auf pathologische Asymmetrien hin (vgl. Kapitel 14.3).</w:t>
      </w:r>
    </w:p>
    <w:p>
      <w:pPr>
        <w:pStyle w:val="Heading3"/>
        <w:spacing w:after="120" w:before="240"/>
      </w:pPr>
      <w:r>
        <w:rPr>
          <w:b/>
          <w:bCs/>
        </w:rPr>
        <w:t xml:space="preserve">4.2.2 Pro-Zone Asymmetrie-Scores</w:t>
      </w:r>
    </w:p>
    <w:p>
      <w:pPr>
        <w:spacing w:after="120"/>
        <w:jc w:val="left"/>
      </w:pPr>
      <w:r>
        <w:t xml:space="preserve">Neben dem globalen Index liefert das System zonenspezifische Asymmetrie-Scores. Jede der 19 Behandlungszonen (vgl. Kapitel 9) erhaelt einen eigenen Severity-Beitrag durch die Asymmetrie der zugehoerigen Achse. Beispiele:</w:t>
      </w:r>
    </w:p>
    <w:p>
      <w:pPr>
        <w:spacing w:after="120"/>
        <w:ind w:left="360"/>
        <w:jc w:val="left"/>
      </w:pPr>
      <w:r>
        <w:t xml:space="preserve">• Zone Bw1 (Laterale Braue): Asymmetrie ueber die brow_height-Achse → Severity-Gewicht 0,4</w:t>
      </w:r>
    </w:p>
    <w:p>
      <w:pPr>
        <w:spacing w:after="120"/>
        <w:ind w:left="360"/>
        <w:jc w:val="left"/>
      </w:pPr>
      <w:r>
        <w:t xml:space="preserve">• Zonen Ck1/Ck2/Ck3 (Wangenregion): Asymmetrie ueber die cheekbone_height-Achse → Severity-Gewicht 0,2–0,3</w:t>
      </w:r>
    </w:p>
    <w:p>
      <w:pPr>
        <w:spacing w:after="120"/>
        <w:ind w:left="360"/>
        <w:jc w:val="left"/>
      </w:pPr>
      <w:r>
        <w:t xml:space="preserve">• Zone T1 (Temporal): Asymmetrie der Temporaltiefe links vs. rechts (volume_engine) → Severity-Gewicht 0,2</w:t>
      </w:r>
    </w:p>
    <w:p>
      <w:pPr>
        <w:pStyle w:val="Heading2"/>
        <w:spacing w:after="180" w:before="360"/>
      </w:pPr>
      <w:r>
        <w:rPr>
          <w:b/>
          <w:bCs/>
        </w:rPr>
        <w:t xml:space="preserve">4.3 Dynamische Asymmetrie</w:t>
      </w:r>
    </w:p>
    <w:p>
      <w:pPr>
        <w:spacing w:after="120"/>
        <w:jc w:val="left"/>
      </w:pPr>
      <w:r>
        <w:t xml:space="preserve">Die statische Symmetrieanalyse erfasst nur die geometrische Position der Landmarks in Ruhe. Die dynamische Asymmetrie nutzt die 52 Blendshape-Koeffizienten (vgl. Kapitel 3) um Unterschiede in der Muskelaktivierung zwischen linker und rechter Gesichtshaelfte zu quantifizieren.</w:t>
      </w:r>
    </w:p>
    <w:p>
      <w:pPr>
        <w:spacing w:after="120"/>
        <w:jc w:val="left"/>
      </w:pPr>
      <w:r>
        <w:rPr>
          <w:b/>
          <w:bCs/>
        </w:rPr>
        <w:t xml:space="preserve">WICHTIG: Blendshapes werden NIEMALS ueber Views fusioniert. Die dynamische Asymmetrie wird ausschliesslich auf Basis der Blendshapes einer einzelnen Aufnahme berechnet — typischerweise der Frontalansicht. Dies verhindert Artefakte durch unterschiedliche Perspektiven.</w:t>
      </w:r>
    </w:p>
    <w:p>
      <w:pPr>
        <w:spacing w:after="120"/>
        <w:jc w:val="left"/>
      </w:pPr>
      <w:r>
        <w:t xml:space="preserve">Das System analysiert acht bilateral gepaarte Blendshapes:</w:t>
      </w:r>
    </w:p>
    <w:p>
      <w:pPr>
        <w:spacing w:after="120"/>
        <w:jc w:val="left"/>
      </w:pPr>
      <w:r>
        <w:rPr>
          <w:b/>
          <w:bCs/>
        </w:rPr>
        <w:t xml:space="preserve">Tabelle 4.4: Blendshape-Paare fuer dynamische Asymmetrie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Blendshape-Paar</w:t>
            </w:r>
          </w:p>
        </w:tc>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Anatomische Struktur</w:t>
            </w:r>
          </w:p>
        </w:tc>
        <w:tc>
          <w:tcPr>
            <w:tcW w:type="dxa" w:w="3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 bei Asymmetrie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browDownLeft / browDownRight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corrugator supercilii</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Glabellafalten, Corrugator-Hyperaktivitaet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browOuterUpLeft / browOuterUpRight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frontalis (lateral)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Brauenhebung, kompensatorische Frontalis-Aktivitaet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cheekSquintLeft / cheekSquintRight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zygomaticus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Asymmetrisches Laecheln, unterschiedliche Wangenhebung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eyeBlinkLeft / eyeBlinkRight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orbicularis oculi</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Lidschluss-Asymmetrie, moeglicher Hinweis auf Parese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eyeSquintLeft / eyeSquintRight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orbicularis oculi (inferior)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Crow’s Feet, periortbitale Aktivitaet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mouthSmileLeft / mouthSmileRight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zygomaticus major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Asymmetrisches Laecheln — haeufigster dynamischer Befund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mouthFrownLeft / mouthFrownRight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depressor anguli oris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Einseitiger Mundwinkel-Downturn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noseSneerLeft / noseSneerRight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levator labii sup. alaeque nasi</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Einseitiges Nasenruempfen, Bunny Lines</w:t>
            </w:r>
          </w:p>
        </w:tc>
      </w:tr>
    </w:tbl>
    <w:p>
      <w:pPr>
        <w:pStyle w:val="Heading3"/>
        <w:spacing w:after="120" w:before="240"/>
      </w:pPr>
      <w:r>
        <w:rPr>
          <w:b/>
          <w:bCs/>
        </w:rPr>
        <w:t xml:space="preserve">4.3.1 Schwellenwert und Berechnung</w:t>
      </w:r>
    </w:p>
    <w:p>
      <w:pPr>
        <w:spacing w:after="120"/>
        <w:jc w:val="left"/>
      </w:pPr>
      <w:r>
        <w:t xml:space="preserve">Der Schwellenwert fuer die dynamische Asymmetrie liegt bei einer Differenz von 0,10 (10 % der maximalen Aktivierung). Nur Paare mit einer Differenz &gt; 0,10 werden reportet. Berechnung: diff = |left_value − right_value|.</w:t>
      </w:r>
    </w:p>
    <w:p>
      <w:pPr>
        <w:spacing w:after="120"/>
        <w:jc w:val="left"/>
      </w:pPr>
      <w:r>
        <w:t xml:space="preserve">Ein Blendshape-Koeffizient von 0,0 bedeutet keine Aktivierung, 1,0 maximale Aktivierung. Im Ruhezustand (Neutralexpression) sollten alle Werte nahe 0 liegen. Erhoehte Ruhewerte deuten auf chronische Muskelaktivitaetsmuster hin, die mit Alterung und Faltenbildung korrelieren (vgl. Kapitel 8, Muskeltonus).</w:t>
      </w:r>
    </w:p>
    <w:p>
      <w:pPr>
        <w:pStyle w:val="Heading3"/>
        <w:spacing w:after="120" w:before="240"/>
      </w:pPr>
      <w:r>
        <w:rPr>
          <w:b/>
          <w:bCs/>
        </w:rPr>
        <w:t xml:space="preserve">4.3.2 Klinische Relevanz der dynamischen Asymmetrie</w:t>
      </w:r>
    </w:p>
    <w:p>
      <w:pPr>
        <w:spacing w:after="120"/>
        <w:jc w:val="left"/>
      </w:pPr>
      <w:r>
        <w:t xml:space="preserve">Die dynamische Asymmetrie ergaenzt die statische Analyse um zwei wesentliche Dimensionen:</w:t>
      </w:r>
    </w:p>
    <w:p>
      <w:pPr>
        <w:spacing w:after="120"/>
        <w:jc w:val="left"/>
      </w:pPr>
      <w:r>
        <w:t xml:space="preserve">1. Differenzialdiagnose: Eine ausgepraete mouthSmileLeft/Right-Differenz in Ruhe kann auf eine periphere Fazialisparese hinweisen und sollte neurologisch abgeklaert werden (vgl. Kapitel 14.3, Extreme Asymmetrie als Pathologie-Indikator).</w:t>
      </w:r>
    </w:p>
    <w:p>
      <w:pPr>
        <w:spacing w:after="120"/>
        <w:jc w:val="left"/>
      </w:pPr>
      <w:r>
        <w:t xml:space="preserve">2. Behandlungsplanung: Einseitige Muskelueberaktivitaet kann mit gezieltem Neurotoxin behandelt werden. Beispiel: Eine browDownLeft-Aktivierung von 0,35 bei browDownRight von 0,08 deutet auf eine einseitige Corrugator-Hyperaktivitaet hin. Die Neurotoxin-Dosis fuer die Glabella (Zone Bw2) sollte asymmetrisch angepasst werden.</w:t>
      </w:r>
    </w:p>
    <w:p>
      <w:pPr>
        <w:spacing w:after="120"/>
        <w:jc w:val="left"/>
      </w:pPr>
      <w:r>
        <w:t xml:space="preserve">Die Ergebnisse der dynamischen Asymmetrieanalyse fliessen in den Severity-Score der jeweiligen Zone ein — mit einem Gewichtungsfaktor, der sicherstellt, dass dynamische Befunde die statischen nicht ueberlagern, sondern ergaenzen.</w:t>
      </w:r>
    </w:p>
    <w:p>
      <w:r>
        <w:br w:type="page"/>
      </w:r>
    </w:p>
    <w:p>
      <w:pPr>
        <w:pStyle w:val="Heading1"/>
        <w:spacing w:after="240" w:before="480"/>
      </w:pPr>
      <w:r>
        <w:rPr>
          <w:b/>
          <w:bCs/>
        </w:rPr>
        <w:t xml:space="preserve">Kapitel 5: Gesichtsproportionen</w:t>
      </w:r>
    </w:p>
    <w:p>
      <w:pPr>
        <w:spacing w:after="120"/>
        <w:jc w:val="left"/>
      </w:pPr>
      <w:r>
        <w:t xml:space="preserve">Die proportionale Analyse des Gesichts basiert auf dem Konzept idealer Verhaeltnisse, die in der klassischen Aesthetik und modernen Forschung als Grundlage fuer die Beurteilung fazialer Harmonie dienen. Abweichungen von diesen Idealverhaeltnissen koennen — muessen aber nicht — einen Behandlungsbedarf begrdnden. Ziel der Proportionsanalyse ist es, dem Behandler eine objektive Grundlage fuer die Planung volumengebender Massnahmen zu liefern.</w:t>
      </w:r>
    </w:p>
    <w:p>
      <w:pPr>
        <w:spacing w:after="120"/>
        <w:jc w:val="left"/>
      </w:pPr>
      <w:r>
        <w:t xml:space="preserve">Die proportion_engine des Aesthetic Biometrics Engine berechnet vier Proportionssysteme: vertikale Drittel, horizontale Fuenftel, Golden Ratio und Lip Ratio mit Cupid’s Bow-Analyse. Alle Messungen werden in kalibrierten Millimetern durchgefuehrt und primaer aus der Frontalansicht gewonnen.</w:t>
      </w:r>
    </w:p>
    <w:p>
      <w:pPr>
        <w:pStyle w:val="Heading2"/>
        <w:spacing w:after="180" w:before="360"/>
      </w:pPr>
      <w:r>
        <w:rPr>
          <w:b/>
          <w:bCs/>
        </w:rPr>
        <w:t xml:space="preserve">5.1 Vertikale Drittel</w:t>
      </w:r>
    </w:p>
    <w:p>
      <w:pPr>
        <w:spacing w:after="120"/>
        <w:jc w:val="left"/>
      </w:pPr>
      <w:r>
        <w:t xml:space="preserve">Die vertikalen Gesichtsdrittel teilen das Gesicht in drei annaehernd gleich grosse Segmente:</w:t>
      </w:r>
    </w:p>
    <w:p>
      <w:pPr>
        <w:spacing w:after="120"/>
        <w:ind w:left="360"/>
        <w:jc w:val="left"/>
      </w:pPr>
      <w:r>
        <w:t xml:space="preserve">• Oberes Drittel: Trichion (Haaransatz, Landmark 10) → Glabella (Landmark 9)</w:t>
      </w:r>
    </w:p>
    <w:p>
      <w:pPr>
        <w:spacing w:after="120"/>
        <w:ind w:left="360"/>
        <w:jc w:val="left"/>
      </w:pPr>
      <w:r>
        <w:t xml:space="preserve">• Mittleres Drittel: Glabella → Subnasale (Landmark 2)</w:t>
      </w:r>
    </w:p>
    <w:p>
      <w:pPr>
        <w:spacing w:after="120"/>
        <w:ind w:left="360"/>
        <w:jc w:val="left"/>
      </w:pPr>
      <w:r>
        <w:t xml:space="preserve">• Unteres Drittel: Subnasale → Menton/Gnathion (Landmark 152)</w:t>
      </w:r>
    </w:p>
    <w:p>
      <w:pPr>
        <w:spacing w:after="120"/>
        <w:jc w:val="left"/>
      </w:pPr>
      <w:r>
        <w:rPr>
          <w:b/>
          <w:bCs/>
        </w:rPr>
        <w:t xml:space="preserve">Idealverhaeltnis: 1:1:1 (jedes Drittel = 33,3 % der Gesamthoehe)</w:t>
      </w:r>
    </w:p>
    <w:p>
      <w:pPr>
        <w:spacing w:after="120"/>
        <w:jc w:val="left"/>
      </w:pPr>
      <w:r>
        <w:t xml:space="preserve">Die Messung erfolgt als vertikale Pixeldistanz (nur y-Komponente) zwischen den Landmarks, konvertiert zu Millimetern ueber die Iris-Kalibrierung. Die Deviation vom Idealverhaeltnis wird als mittlere absolute Abweichung der drei Anteile von 0,333 berechnet:</w:t>
      </w:r>
    </w:p>
    <w:p>
      <w:pPr>
        <w:spacing w:after="120"/>
        <w:jc w:val="left"/>
      </w:pPr>
      <w:r>
        <w:rPr>
          <w:b/>
          <w:bCs/>
        </w:rPr>
        <w:t xml:space="preserve">deviation = (|upper_ratio − 0,333| + |middle_ratio − 0,333| + |lower_ratio − 0,333|) / 3 × 100</w:t>
      </w:r>
    </w:p>
    <w:p>
      <w:pPr>
        <w:spacing w:after="120"/>
        <w:jc w:val="left"/>
      </w:pPr>
      <w:r>
        <w:rPr>
          <w:b/>
          <w:bCs/>
        </w:rPr>
        <w:t xml:space="preserve">Tabelle 5.1: Vertikale Drittel — Referenzwerte und klinische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Idealwert</w:t>
            </w:r>
          </w:p>
        </w:tc>
        <w:tc>
          <w:tcPr>
            <w:tcW w:type="dxa" w:w="5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 bei Abweichung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Oberes Drittel &lt; 30 %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Niedrige Stirn; Trichion-Landmark-Limitation bei Haarausfall beachten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Oberes Drittel &gt; 36 %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Hohe Stirn; Hairline-Eingriffe erwaegen (ausserhalb Filler-Indikation)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Mittleres Drittel &lt; 30 %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Verkuerzte Mittelgesichtshoehe; selten isoliert behandelbar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Unteres Drittel &gt; 36 %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Verlaengertes unteres Drittel; Kinn-Reduktion in Betracht ziehen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Unteres Drittel &lt; 30 %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Verkuerztes unteres Drittel; Kinn-Augmentation (Zone Ch1) erwaegen</w:t>
            </w:r>
          </w:p>
        </w:tc>
      </w:tr>
    </w:tbl>
    <w:p>
      <w:pPr>
        <w:spacing w:after="120"/>
        <w:jc w:val="left"/>
      </w:pPr>
      <w:r>
        <w:t xml:space="preserve">Hinweis: Das Trichion (Haaransatz) ist fuer MediaPipe nicht direkt detektierbar. Landmark 10 dient als Approximation des hoechsten zuverlaessig erkennbaren Stirnpunkts. Bei Patienten mit Geheimratsecken oder hohem Haaransatz kann das obere Drittel systematisch unterschaetzt werden.</w:t>
      </w:r>
    </w:p>
    <w:p>
      <w:pPr>
        <w:pStyle w:val="Heading2"/>
        <w:spacing w:after="180" w:before="360"/>
      </w:pPr>
      <w:r>
        <w:rPr>
          <w:b/>
          <w:bCs/>
        </w:rPr>
        <w:t xml:space="preserve">5.2 Horizontale Fuenftel</w:t>
      </w:r>
    </w:p>
    <w:p>
      <w:pPr>
        <w:spacing w:after="120"/>
        <w:jc w:val="left"/>
      </w:pPr>
      <w:r>
        <w:t xml:space="preserve">Die horizontalen Fuenftel teilen die Gesichtsbreite in fuenf annaehernd gleich breite Segmente. Die Messung erfolgt ueber die x-Koordinaten (horizontale Pixeldistanz) der folgenden Landmarks:</w:t>
      </w:r>
    </w:p>
    <w:p>
      <w:pPr>
        <w:spacing w:after="120"/>
        <w:jc w:val="left"/>
      </w:pPr>
      <w:r>
        <w:t xml:space="preserve">1. Segment: Rechtes Praeauriculare → Rechter Augenaussenwinkel</w:t>
      </w:r>
    </w:p>
    <w:p>
      <w:pPr>
        <w:spacing w:after="120"/>
        <w:jc w:val="left"/>
      </w:pPr>
      <w:r>
        <w:t xml:space="preserve">2. Segment: Rechter Augenaussenwinkel → Rechter Augeninnenwinkel</w:t>
      </w:r>
    </w:p>
    <w:p>
      <w:pPr>
        <w:spacing w:after="120"/>
        <w:jc w:val="left"/>
      </w:pPr>
      <w:r>
        <w:t xml:space="preserve">3. Segment: Rechter Augeninnenwinkel → Linker Augeninnenwinkel (Interkanthaldistanz)</w:t>
      </w:r>
    </w:p>
    <w:p>
      <w:pPr>
        <w:spacing w:after="120"/>
        <w:jc w:val="left"/>
      </w:pPr>
      <w:r>
        <w:t xml:space="preserve">4. Segment: Linker Augeninnenwinkel → Linker Augenaussenwinkel</w:t>
      </w:r>
    </w:p>
    <w:p>
      <w:pPr>
        <w:spacing w:after="120"/>
        <w:jc w:val="left"/>
      </w:pPr>
      <w:r>
        <w:t xml:space="preserve">5. Segment: Linker Augenaussenwinkel → Linkes Praeauriculare</w:t>
      </w:r>
    </w:p>
    <w:p>
      <w:pPr>
        <w:spacing w:after="120"/>
        <w:jc w:val="left"/>
      </w:pPr>
      <w:r>
        <w:rPr>
          <w:b/>
          <w:bCs/>
        </w:rPr>
        <w:t xml:space="preserve">Idealverhaeltnis: 1:1:1:1:1 (jedes Segment = 20 % der Gesamtbreite)</w:t>
      </w:r>
    </w:p>
    <w:p>
      <w:pPr>
        <w:spacing w:after="120"/>
        <w:jc w:val="left"/>
      </w:pPr>
      <w:r>
        <w:t xml:space="preserve">Die Deviation berechnet sich analog zu den Dritteln: deviation = Σ|ratio_i − 0,20| / 5 × 100.</w:t>
      </w:r>
    </w:p>
    <w:p>
      <w:pPr>
        <w:spacing w:after="120"/>
        <w:jc w:val="left"/>
      </w:pPr>
      <w:r>
        <w:t xml:space="preserve">Klinisch relevant ist insbesondere das dritte Segment (Interkanthaldistanz). Eine erhoehte Interkanthaldistanz (&gt; 24 % der Gesamtbreite) wird als Hypertelorismus bezeichnet und kann auf ein Syndrom hinweisen. Eine verringerte Distanz (&lt; 16 %) ist als Hypotelorismus bekannt. Beide Befunde liegen ausserhalb der aesthetischen Behandlungsindikation und sollten dokumentiert, aber nicht behandelt werden.</w:t>
      </w:r>
    </w:p>
    <w:p>
      <w:pPr>
        <w:pStyle w:val="Heading2"/>
        <w:spacing w:after="180" w:before="360"/>
      </w:pPr>
      <w:r>
        <w:rPr>
          <w:b/>
          <w:bCs/>
        </w:rPr>
        <w:t xml:space="preserve">5.3 Golden Ratio</w:t>
      </w:r>
    </w:p>
    <w:p>
      <w:pPr>
        <w:spacing w:after="120"/>
        <w:jc w:val="left"/>
      </w:pPr>
      <w:r>
        <w:t xml:space="preserve">Das Verhaeltnis von Gesichtshoehe zu Gesichtsbreite wird gegen den Goldenen Schnitt (Phi, φ = 1,618) verglichen. Die Messung erfolgt:</w:t>
      </w:r>
    </w:p>
    <w:p>
      <w:pPr>
        <w:spacing w:after="120"/>
        <w:ind w:left="360"/>
        <w:jc w:val="left"/>
      </w:pPr>
      <w:r>
        <w:t xml:space="preserve">• Gesichtshoehe: Trichion (Landmark 10) → Gnathion (Landmark 152), vertikale Pixeldistanz</w:t>
      </w:r>
    </w:p>
    <w:p>
      <w:pPr>
        <w:spacing w:after="120"/>
        <w:ind w:left="360"/>
        <w:jc w:val="left"/>
      </w:pPr>
      <w:r>
        <w:t xml:space="preserve">• Gesichtsbreite: Bizygomatische Breite (Jochbein links, Landmark 330 → Jochbein rechts, Landmark 101), horizontale Pixeldistanz</w:t>
      </w:r>
    </w:p>
    <w:p>
      <w:pPr>
        <w:spacing w:after="120"/>
        <w:jc w:val="left"/>
      </w:pPr>
      <w:r>
        <w:rPr>
          <w:b/>
          <w:bCs/>
        </w:rPr>
        <w:t xml:space="preserve">Berechnung: ratio = face_height_mm / face_width_mm</w:t>
      </w:r>
    </w:p>
    <w:p>
      <w:pPr>
        <w:spacing w:after="120"/>
        <w:jc w:val="left"/>
      </w:pPr>
      <w:r>
        <w:rPr>
          <w:b/>
          <w:bCs/>
        </w:rPr>
        <w:t xml:space="preserve">Deviation: deviation_pct = |ratio − 1,618| / 1,618 × 100</w:t>
      </w:r>
    </w:p>
    <w:p>
      <w:pPr>
        <w:spacing w:after="120"/>
        <w:jc w:val="left"/>
      </w:pPr>
      <w:r>
        <w:rPr>
          <w:b/>
          <w:bCs/>
        </w:rPr>
        <w:t xml:space="preserve">Tabelle 5.2: Golden Ratio — Referenzwerte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800"/>
        <w:gridCol w:w="39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Idealwert</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Typischer Bereich</w:t>
            </w:r>
          </w:p>
        </w:tc>
        <w:tc>
          <w:tcPr>
            <w:tcW w:type="dxa" w:w="3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Deviation bei Behandlungsbedarf</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Gesichtshoehe/Breite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1,618 (φ)</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1,4–1,8</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10 % Abweichung von φ</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Deviation &lt; 5 %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Exzellente Proportion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Deviation 5–10 %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 Abweichung, klinisch meist irrelevant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Deviation &gt; 10 %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Signifikante Abweichung; Ursachenanalyse empfohlen</w:t>
            </w:r>
          </w:p>
        </w:tc>
      </w:tr>
    </w:tbl>
    <w:p>
      <w:pPr>
        <w:spacing w:after="120"/>
        <w:jc w:val="left"/>
      </w:pPr>
      <w:r>
        <w:t xml:space="preserve">Klinische Einordnung: Der Goldene Schnitt ist ein aesthetisches Ideal, kein medizinischer Standard. Ethnische und individuelle Variationen sind zu beruecksichtigen. Das System verwendet die Golden Ratio Deviation als einen von mehreren Inputs fuer den globalen Aesthetik-Score, nicht als alleinigen Indikator.</w:t>
      </w:r>
    </w:p>
    <w:p>
      <w:pPr>
        <w:pStyle w:val="Heading2"/>
        <w:spacing w:after="180" w:before="360"/>
      </w:pPr>
      <w:r>
        <w:rPr>
          <w:b/>
          <w:bCs/>
        </w:rPr>
        <w:t xml:space="preserve">5.4 Lip Ratio und Cupid’s Bow</w:t>
      </w:r>
    </w:p>
    <w:p>
      <w:pPr>
        <w:spacing w:after="120"/>
        <w:jc w:val="left"/>
      </w:pPr>
      <w:r>
        <w:t xml:space="preserve">Die Lippenanalyse ist fuer die Zonen Lp1 (Oberlippe) und Lp2 (Unterlippe) des Zonensystems (Kapitel 9) massgeblich. Sie umfasst drei Aspekte: Lip Ratio, Cupid’s Bow-Tiefe und Cupid’s Bow-Asymmetrie.</w:t>
      </w:r>
    </w:p>
    <w:p>
      <w:pPr>
        <w:pStyle w:val="Heading3"/>
        <w:spacing w:after="120" w:before="240"/>
      </w:pPr>
      <w:r>
        <w:rPr>
          <w:b/>
          <w:bCs/>
        </w:rPr>
        <w:t xml:space="preserve">5.4.1 Lip Ratio</w:t>
      </w:r>
    </w:p>
    <w:p>
      <w:pPr>
        <w:spacing w:after="120"/>
        <w:jc w:val="left"/>
      </w:pPr>
      <w:r>
        <w:t xml:space="preserve">Das Lip Ratio beschreibt das Verhaeltnis der Oberlippenhoehe zur Unterlippenhoehe:</w:t>
      </w:r>
    </w:p>
    <w:p>
      <w:pPr>
        <w:spacing w:after="120"/>
        <w:ind w:left="360"/>
        <w:jc w:val="left"/>
      </w:pPr>
      <w:r>
        <w:t xml:space="preserve">• Oberlippenhoehe: Labrale superius (Landmark am oberen Vermilionrand) → Stomion (Mundspalte, Landmark 13), vertikale Distanz</w:t>
      </w:r>
    </w:p>
    <w:p>
      <w:pPr>
        <w:spacing w:after="120"/>
        <w:ind w:left="360"/>
        <w:jc w:val="left"/>
      </w:pPr>
      <w:r>
        <w:t xml:space="preserve">• Unterlippenhoehe: Stomion → Labrale inferius (Landmark am unteren Vermilionrand), vertikale Distanz</w:t>
      </w:r>
    </w:p>
    <w:p>
      <w:pPr>
        <w:spacing w:after="120"/>
        <w:jc w:val="left"/>
      </w:pPr>
      <w:r>
        <w:rPr>
          <w:b/>
          <w:bCs/>
        </w:rPr>
        <w:t xml:space="preserve">Idealverhaeltnis: Upper:Lower = 1:1,6 (Lip Ratio = 0,625)</w:t>
      </w:r>
    </w:p>
    <w:p>
      <w:pPr>
        <w:spacing w:after="120"/>
        <w:jc w:val="left"/>
      </w:pPr>
      <w:r>
        <w:t xml:space="preserve">Deviation: deviation_pct = |lip_ratio − 0,625| / 0,625 × 100</w:t>
      </w:r>
    </w:p>
    <w:p>
      <w:pPr>
        <w:spacing w:after="120"/>
        <w:jc w:val="left"/>
      </w:pPr>
      <w:r>
        <w:rPr>
          <w:b/>
          <w:bCs/>
        </w:rPr>
        <w:t xml:space="preserve">Tabelle 5.3: Lip Ratio — Referenzwerte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600"/>
        <w:gridCol w:w="3960"/>
      </w:tblGrid>
      <w:tr>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Idealwert</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Referenzbereich</w:t>
            </w:r>
          </w:p>
        </w:tc>
        <w:tc>
          <w:tcPr>
            <w:tcW w:type="dxa" w:w="3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Oberlippenhoehe (mm)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6–9</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5–11</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5 mm: Lippenaugmentation erwaegen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Unterlippenhoehe (mm)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8–16</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Selten behandlungsbeduerftig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Ratio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0,625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0,5–0,7</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0,5: Oberlippe deutlich zu duenn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Lippenbreite (mm)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45–55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40–60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Mundwinkel-zu-Mundwinkel-Distanz</w:t>
            </w:r>
          </w:p>
        </w:tc>
      </w:tr>
    </w:tbl>
    <w:p>
      <w:pPr>
        <w:pStyle w:val="Heading3"/>
        <w:spacing w:after="120" w:before="240"/>
      </w:pPr>
      <w:r>
        <w:rPr>
          <w:b/>
          <w:bCs/>
        </w:rPr>
        <w:t xml:space="preserve">5.4.2 Cupid’s Bow-Analyse</w:t>
      </w:r>
    </w:p>
    <w:p>
      <w:pPr>
        <w:spacing w:after="120"/>
        <w:jc w:val="left"/>
      </w:pPr>
      <w:r>
        <w:t xml:space="preserve">Der Cupid’s Bow (Amorbogen) ist die M-foermige Kontur der oberen Vermilionlinie. Die Analyse misst:</w:t>
      </w:r>
    </w:p>
    <w:p>
      <w:pPr>
        <w:spacing w:after="120"/>
        <w:ind w:left="360"/>
        <w:jc w:val="left"/>
      </w:pPr>
      <w:r>
        <w:t xml:space="preserve">• Bogentiefe (cupid_bow_depth_mm): Vertikaler Abstand zwischen den Philtralsaeulen-Peaks (Landmarks 267 links, 37 rechts) und dem Mittelpunkt der Oberlippe (Landmark 0). Berechnung: avg(mid_y − left_peak_y, mid_y − right_peak_y), konvertiert zu mm.</w:t>
      </w:r>
    </w:p>
    <w:p>
      <w:pPr>
        <w:spacing w:after="120"/>
        <w:ind w:left="360"/>
        <w:jc w:val="left"/>
      </w:pPr>
      <w:r>
        <w:t xml:space="preserve">• Bogenasymmetrie (cupid_bow_asymmetry_pct): Differenz der Peakhoehen links vs. rechts, normalisiert auf die durchschnittliche Peakhoehe. Berechnung: |left_peak_y − right_peak_y| / avg_peak_height × 100.</w:t>
      </w:r>
    </w:p>
    <w:p>
      <w:pPr>
        <w:spacing w:after="120"/>
        <w:jc w:val="left"/>
      </w:pPr>
      <w:r>
        <w:t xml:space="preserve">Interpretation: Eine Cupid’s Bow-Tiefe von 0 mm deutet auf einen flachen, undefineten Lippensaum hin. Asymmetrien &gt; 15 % koennen auf vorangegangene Injektionen, Narben oder kongenitale Variationen hinweisen.</w:t>
      </w:r>
    </w:p>
    <w:p>
      <w:r>
        <w:br w:type="page"/>
      </w:r>
    </w:p>
    <w:p>
      <w:pPr>
        <w:pStyle w:val="Heading1"/>
        <w:spacing w:after="240" w:before="480"/>
      </w:pPr>
      <w:r>
        <w:rPr>
          <w:b/>
          <w:bCs/>
        </w:rPr>
        <w:t xml:space="preserve">Kapitel 6: Profilanalyse</w:t>
      </w:r>
    </w:p>
    <w:p>
      <w:pPr>
        <w:spacing w:after="120"/>
        <w:jc w:val="left"/>
      </w:pPr>
      <w:r>
        <w:t xml:space="preserve">Die Profilanalyse (laterale Kephalometrie) ist ein zentraler Baustein der aesthetischen Gesichtsdiagnostik. Sie wird anhand einer standardisierten Profilaufnahme (90°-Ansicht) durchgefuehrt und liefert Informationen, die aus der Frontalansicht nicht gewonnen werden koennen: die Projektion von Nase, Lippen und Kinn, den Kinn-Hals-Uebergang sowie das Nasenrueckenprofil (Dorsum nasi).</w:t>
      </w:r>
    </w:p>
    <w:p>
      <w:pPr>
        <w:spacing w:after="120"/>
        <w:jc w:val="left"/>
      </w:pPr>
      <w:r>
        <w:t xml:space="preserve">Die hier vorgestellten Analysemethoden basieren auf der profile_engine des Aesthetic Biometrics Engine, die sechs Kernmetriken berechnet: Ricketts-E-Linie, Nasolabialwinkel, Steiner-Linie, Nasofrontalwinkel mit Dorsumanalyse, Cervicomental Angle und Chin Projection. Alle Messungen werden in Millimetern (via Iris-basierte Kalibrierung, vgl. Kapitel 3) oder in Grad angegeben.</w:t>
      </w:r>
    </w:p>
    <w:p>
      <w:pPr>
        <w:spacing w:after="120"/>
        <w:jc w:val="left"/>
      </w:pPr>
      <w:r>
        <w:t xml:space="preserve">Die Profilanalyse ergaenzt die Frontal- und Obliqueanalyse und ist insbesondere fuer die Zonen Ch1 (Kinn), Jl1 (Jawline), Pf1 (Nasenprofil), Pf2 (Lippenprofil) und Pf3 (Kinn-Hals-Winkel) des in Kapitel 9 beschriebenen Zonensystems massgeblich.</w:t>
      </w:r>
    </w:p>
    <w:p>
      <w:pPr>
        <w:pStyle w:val="Heading2"/>
        <w:spacing w:after="180" w:before="360"/>
      </w:pPr>
      <w:r>
        <w:rPr>
          <w:b/>
          <w:bCs/>
        </w:rPr>
        <w:t xml:space="preserve">6.1 Ricketts E-Line (Aesthetische Linie)</w:t>
      </w:r>
    </w:p>
    <w:p>
      <w:pPr>
        <w:spacing w:after="120"/>
        <w:jc w:val="left"/>
      </w:pPr>
      <w:r>
        <w:t xml:space="preserve">Die Ricketts-E-Linie (Esthetic Line) ist die bekannteste kephalometrische Referenzlinie fuer die Profilbeurteilung. Sie wurde von Robert M. Ricketts 1968 eingefuehrt und definiert die ideale Lippenposition im Profil.</w:t>
      </w:r>
    </w:p>
    <w:p>
      <w:pPr>
        <w:pStyle w:val="Heading3"/>
        <w:spacing w:after="120" w:before="240"/>
      </w:pPr>
      <w:r>
        <w:rPr>
          <w:b/>
          <w:bCs/>
        </w:rPr>
        <w:t xml:space="preserve">6.1.1 Definition und Konstruktion</w:t>
      </w:r>
    </w:p>
    <w:p>
      <w:pPr>
        <w:spacing w:after="120"/>
        <w:jc w:val="left"/>
      </w:pPr>
      <w:r>
        <w:t xml:space="preserve">Die E-Linie wird als gerade Verbindung zwischen zwei Referenzpunkten gezogen:</w:t>
      </w:r>
    </w:p>
    <w:p>
      <w:pPr>
        <w:spacing w:after="120"/>
        <w:ind w:left="360"/>
        <w:jc w:val="left"/>
      </w:pPr>
      <w:r>
        <w:t xml:space="preserve">• Pronasale (Nasenspitze): Der am weitesten anterior projizierte Punkt der Nase</w:t>
      </w:r>
    </w:p>
    <w:p>
      <w:pPr>
        <w:spacing w:after="120"/>
        <w:ind w:left="360"/>
        <w:jc w:val="left"/>
      </w:pPr>
      <w:r>
        <w:t xml:space="preserve">• Pogonion (Kinnspitze): Der am weitesten anterior projizierte Punkt des Weichteilkinns</w:t>
      </w:r>
    </w:p>
    <w:p>
      <w:pPr>
        <w:spacing w:after="120"/>
        <w:jc w:val="left"/>
      </w:pPr>
      <w:r>
        <w:t xml:space="preserve">Die Position der Ober- und Unterlippe wird als senkrechter Abstand (Perpendikularabstand) zu dieser Linie gemessen. Dabei werden folgende Messpunkte verwendet:</w:t>
      </w:r>
    </w:p>
    <w:p>
      <w:pPr>
        <w:spacing w:after="120"/>
        <w:ind w:left="360"/>
        <w:jc w:val="left"/>
      </w:pPr>
      <w:r>
        <w:t xml:space="preserve">• Labrale superius: Der am weitesten anterior projizierte Punkt der Oberlippe (Vermiliongrenze)</w:t>
      </w:r>
    </w:p>
    <w:p>
      <w:pPr>
        <w:spacing w:after="120"/>
        <w:ind w:left="360"/>
        <w:jc w:val="left"/>
      </w:pPr>
      <w:r>
        <w:t xml:space="preserve">• Labrale inferius: Der am weitesten anterior projizierte Punkt der Unterlippe</w:t>
      </w:r>
    </w:p>
    <w:p>
      <w:pPr>
        <w:pStyle w:val="Heading3"/>
        <w:spacing w:after="120" w:before="240"/>
      </w:pPr>
      <w:r>
        <w:rPr>
          <w:b/>
          <w:bCs/>
        </w:rPr>
        <w:t xml:space="preserve">6.1.2 Berechnung im System</w:t>
      </w:r>
    </w:p>
    <w:p>
      <w:pPr>
        <w:spacing w:after="120"/>
        <w:jc w:val="left"/>
      </w:pPr>
      <w:r>
        <w:t xml:space="preserve">Die Engine berechnet den Perpendikularabstand jedes Lippenpunktes zur E-Linie mittels der point_to_line_distance-Funktion (vgl. Kapitel 3, Geometrie-Utilities). Der Abstand wird ueber die Iris-Kalibrierung in Millimeter umgerechnet. Negative Werte bedeuten, dass die Lippe hinter der E-Linie liegt (ideal), positive Werte bedeuten eine Position vor der Linie (Protrusion).</w:t>
      </w:r>
    </w:p>
    <w:p>
      <w:pPr>
        <w:spacing w:after="120"/>
        <w:jc w:val="left"/>
      </w:pPr>
      <w:r>
        <w:rPr>
          <w:b/>
          <w:bCs/>
        </w:rPr>
        <w:t xml:space="preserve">Mathematische Formulierung:</w:t>
      </w:r>
    </w:p>
    <w:p>
      <w:pPr>
        <w:spacing w:after="120"/>
        <w:jc w:val="left"/>
      </w:pPr>
      <w:r>
        <w:t xml:space="preserve">d = point_to_line_distance(Labrale, Pronasale, Pogonion)</w:t>
      </w:r>
    </w:p>
    <w:p>
      <w:pPr>
        <w:spacing w:after="120"/>
        <w:jc w:val="left"/>
      </w:pPr>
      <w:r>
        <w:t xml:space="preserve">d_mm = Kalibrierung.to_mm(d_px)</w:t>
      </w:r>
    </w:p>
    <w:p>
      <w:pPr>
        <w:pStyle w:val="Heading3"/>
        <w:spacing w:after="120" w:before="240"/>
      </w:pPr>
      <w:r>
        <w:rPr>
          <w:b/>
          <w:bCs/>
        </w:rPr>
        <w:t xml:space="preserve">6.1.3 Normwerte und Interpretation</w:t>
      </w:r>
    </w:p>
    <w:p>
      <w:pPr>
        <w:spacing w:after="120"/>
        <w:jc w:val="left"/>
      </w:pPr>
      <w:r>
        <w:t xml:space="preserve">Die Normwerte fuer die Lippenposition relativ zur E-Linie sind:</w:t>
      </w:r>
    </w:p>
    <w:p>
      <w:pPr>
        <w:spacing w:after="120"/>
        <w:jc w:val="left"/>
      </w:pPr>
      <w:r>
        <w:rPr>
          <w:b/>
          <w:bCs/>
        </w:rPr>
        <w:t xml:space="preserve">Tabelle 6.1: Normwerte der Ricketts-E-Linie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5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Messpunkt</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Idealbereich</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 bei Abweichung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 zur E-Linie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Labrale superius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bis -1,0 mm</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-6 mm: Retrudierte Lippe; &gt; -1 mm: Protrusion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Unterlippe zur E-Linie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Labrale inferius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 bis 0,0 mm</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-4 mm: Retrudierte Lippe; &gt; 0 mm: Protrusion</w:t>
            </w:r>
          </w:p>
        </w:tc>
      </w:tr>
    </w:tbl>
    <w:p>
      <w:pPr>
        <w:spacing w:after="120"/>
        <w:jc w:val="left"/>
      </w:pPr>
      <w:r>
        <w:t xml:space="preserve">Die Engine klassifiziert jeden Wert als „ideal“ (innerhalb des Normbereichs) oder „deviant“ (ausserhalb). Die Zuordnung erfolgt durch:</w:t>
      </w:r>
    </w:p>
    <w:p>
      <w:pPr>
        <w:spacing w:after="120"/>
        <w:ind w:left="360"/>
        <w:jc w:val="left"/>
      </w:pPr>
      <w:r>
        <w:t xml:space="preserve">• upper_lip_ideal: WAHR wenn -6,0 ≤ d_mm ≤ -1,0</w:t>
      </w:r>
    </w:p>
    <w:p>
      <w:pPr>
        <w:spacing w:after="120"/>
        <w:ind w:left="360"/>
        <w:jc w:val="left"/>
      </w:pPr>
      <w:r>
        <w:t xml:space="preserve">• lower_lip_ideal: WAHR wenn -4,0 ≤ d_mm ≤ 0,0</w:t>
      </w:r>
    </w:p>
    <w:p>
      <w:pPr>
        <w:pStyle w:val="Heading3"/>
        <w:spacing w:after="120" w:before="240"/>
      </w:pPr>
      <w:r>
        <w:rPr>
          <w:b/>
          <w:bCs/>
        </w:rPr>
        <w:t xml:space="preserve">6.1.4 Klinische Relevanz</w:t>
      </w:r>
    </w:p>
    <w:p>
      <w:pPr>
        <w:spacing w:after="120"/>
        <w:jc w:val="left"/>
      </w:pPr>
      <w:r>
        <w:t xml:space="preserve">Die E-Linie ist der wichtigste Indikator fuer die Lippenprofil-Beurteilung in der Zone Pf2 (Lip Projection, vgl. Kapitel 9). Eine Deviation ueber den Normbereich hinaus traegt direkt zum Severity-Score dieser Zone bei, wobei der Messabweichungsfaktor mit dem Gewicht 0,7 einfliesst.</w:t>
      </w:r>
    </w:p>
    <w:p>
      <w:pPr>
        <w:spacing w:after="120"/>
        <w:jc w:val="left"/>
      </w:pPr>
      <w:r>
        <w:rPr>
          <w:b/>
          <w:bCs/>
        </w:rPr>
        <w:t xml:space="preserve">Klinische Szenarien:</w:t>
      </w:r>
    </w:p>
    <w:p>
      <w:pPr>
        <w:spacing w:after="120"/>
        <w:ind w:left="360"/>
        <w:jc w:val="left"/>
      </w:pPr>
      <w:r>
        <w:t xml:space="preserve">• Retrudierte Oberlippe (&lt; -6 mm): Kann auf Oberkieferretrusion oder Volumenverlust hindeuten. Behandlungsoptionen: HA-Filler-Augmentation des Vermilion (Lp1, vgl. Kapitel 11) oder kieferorthopaeische Korrektur.</w:t>
      </w:r>
    </w:p>
    <w:p>
      <w:pPr>
        <w:spacing w:after="120"/>
        <w:ind w:left="360"/>
        <w:jc w:val="left"/>
      </w:pPr>
      <w:r>
        <w:t xml:space="preserve">• Protrusion (&gt; -1 mm Oberlippe, &gt; 0 mm Unterlippe): Haeufig ethnisch bedingt (andere Normwerte fuer afrikanische und asiatische Populationen) oder durch bialveolaere Protrusion. Vor einer Behandlung muss die dentoalveolaere Aetiologie abgeklaert werden.</w:t>
      </w:r>
    </w:p>
    <w:p>
      <w:pPr>
        <w:spacing w:after="120"/>
        <w:ind w:left="360"/>
        <w:jc w:val="left"/>
      </w:pPr>
      <w:r>
        <w:t xml:space="preserve">• Diskrepanz Ober-/Unterlippe: Wenn nur eine Lippe ausserhalb des Normbereichs liegt, kann ein selektives Filler-Enhancement indiziert sein, um das Verhaeltnis zu harmonisieren.</w:t>
      </w:r>
    </w:p>
    <w:p>
      <w:pPr>
        <w:spacing w:after="120"/>
        <w:jc w:val="left"/>
      </w:pPr>
      <w:r>
        <w:rPr>
          <w:b/>
          <w:bCs/>
        </w:rPr>
        <w:t xml:space="preserve">Wichtig: Die E-Linie ist abhaengig von der Nase- und Kinnprojektion. Eine grosse Nase oder ein prominentes Kinn verschiebt die E-Linie nach anterior und laesst die Lippen retrudierter erscheinen. Daher sollte die E-Linie-Analyse stets im Kontext der Nasen- und Kinnanalyse (Abschnitte 6.4 und 6.6) interpretiert werden.</w:t>
      </w:r>
    </w:p>
    <w:p>
      <w:pPr>
        <w:pStyle w:val="Heading2"/>
        <w:spacing w:after="180" w:before="360"/>
      </w:pPr>
      <w:r>
        <w:rPr>
          <w:b/>
          <w:bCs/>
        </w:rPr>
        <w:t xml:space="preserve">6.2 Nasolabialwinkel (Angulus Nasolabialis)</w:t>
      </w:r>
    </w:p>
    <w:p>
      <w:pPr>
        <w:pStyle w:val="Heading3"/>
        <w:spacing w:after="120" w:before="240"/>
      </w:pPr>
      <w:r>
        <w:rPr>
          <w:b/>
          <w:bCs/>
        </w:rPr>
        <w:t xml:space="preserve">6.2.1 Definition</w:t>
      </w:r>
    </w:p>
    <w:p>
      <w:pPr>
        <w:spacing w:after="120"/>
        <w:jc w:val="left"/>
      </w:pPr>
      <w:r>
        <w:t xml:space="preserve">Der Nasolabialwinkel (NLA) ist der Winkel zwischen der Nasenunterseite (Columella) und der Oberlippe. Er wird an drei Referenzpunkten gemessen:</w:t>
      </w:r>
    </w:p>
    <w:p>
      <w:pPr>
        <w:spacing w:after="120"/>
        <w:ind w:left="360"/>
        <w:jc w:val="left"/>
      </w:pPr>
      <w:r>
        <w:t xml:space="preserve">• Subnasale: Der Punkt am Uebergang von Columella zu Oberlippe (Scheitelpunkt des Winkels)</w:t>
      </w:r>
    </w:p>
    <w:p>
      <w:pPr>
        <w:spacing w:after="120"/>
        <w:ind w:left="360"/>
        <w:jc w:val="left"/>
      </w:pPr>
      <w:r>
        <w:t xml:space="preserve">• Pronasale: Die Nasenspitze (definiert die Columella-Linie)</w:t>
      </w:r>
    </w:p>
    <w:p>
      <w:pPr>
        <w:spacing w:after="120"/>
        <w:ind w:left="360"/>
        <w:jc w:val="left"/>
      </w:pPr>
      <w:r>
        <w:t xml:space="preserve">• Labrale superius: Der Oberlippenpunkt (definiert die Lippenlinie)</w:t>
      </w:r>
    </w:p>
    <w:p>
      <w:pPr>
        <w:spacing w:after="120"/>
        <w:jc w:val="left"/>
      </w:pPr>
      <w:r>
        <w:t xml:space="preserve">Berechnung: angle_between_points(Subnasale, Pronasale, Labrale_superius)</w:t>
      </w:r>
    </w:p>
    <w:p>
      <w:pPr>
        <w:pStyle w:val="Heading3"/>
        <w:spacing w:after="120" w:before="240"/>
      </w:pPr>
      <w:r>
        <w:rPr>
          <w:b/>
          <w:bCs/>
        </w:rPr>
        <w:t xml:space="preserve">6.2.2 Normwerte</w:t>
      </w:r>
    </w:p>
    <w:p>
      <w:pPr>
        <w:spacing w:after="120"/>
        <w:jc w:val="left"/>
      </w:pPr>
      <w:r>
        <w:t xml:space="preserve">Der ideale Nasolabialwinkel liegt zwischen 90° und 105°.</w:t>
      </w:r>
    </w:p>
    <w:p>
      <w:pPr>
        <w:spacing w:after="120"/>
        <w:jc w:val="left"/>
      </w:pPr>
      <w:r>
        <w:rPr>
          <w:b/>
          <w:bCs/>
        </w:rPr>
        <w:t xml:space="preserve">Tabelle 6.2: Klassifikation des Nasolabialwinkels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Winkelbereich</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Implikation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90°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Akuter NLA</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Ueberprojizierte/ueberrotierte Nasenspitze oder uebermaessige Oberlippenhoehe; haeufig bei postoperativer Ueberkorrektur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90–105°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Harmonisches Verhaeltnis zwischen Nasenunterseite und Oberlippe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105°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Stumpfer NLA</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Unterrotierte Nasenspitze, retrudierte Oberlippe oder prognather Oberkiefer; haeufig bei Alterung durch Tip-Ptosis</w:t>
            </w:r>
          </w:p>
        </w:tc>
      </w:tr>
    </w:tbl>
    <w:p>
      <w:pPr>
        <w:pStyle w:val="Heading3"/>
        <w:spacing w:after="120" w:before="240"/>
      </w:pPr>
      <w:r>
        <w:rPr>
          <w:b/>
          <w:bCs/>
        </w:rPr>
        <w:t xml:space="preserve">6.2.3 Messmethodik im System</w:t>
      </w:r>
    </w:p>
    <w:p>
      <w:pPr>
        <w:spacing w:after="120"/>
        <w:jc w:val="left"/>
      </w:pPr>
      <w:r>
        <w:t xml:space="preserve">Die Engine verwendet die angle_between_points-Funktion, die den Winkel aus den drei Punkten im 2D-Raum berechnet. Die Messung erfolgt im Profilbild (90°-Ansicht), wobei die Kopfhaltung durch die Head-Pose-Estimation (Yaw, Pitch, Roll) validiert wird. Eine Abweichung der Kopfhaltung von der exakten Profilposition fuehrt zu einer Quality-Warning im Analyseergebnis.</w:t>
      </w:r>
    </w:p>
    <w:p>
      <w:pPr>
        <w:spacing w:after="120"/>
        <w:jc w:val="left"/>
      </w:pPr>
      <w:r>
        <w:t xml:space="preserve">Der NLA-Wert fliesst primaer in die Zone Pf1 (Nasenprofil) ein und wird fuer den Severity-Score mit dem Gewicht Messabweichung 0,7 beruecksichtigt (vgl. Kapitel 9, Zone Pf1).</w:t>
      </w:r>
    </w:p>
    <w:p>
      <w:pPr>
        <w:pStyle w:val="Heading3"/>
        <w:spacing w:after="120" w:before="240"/>
      </w:pPr>
      <w:r>
        <w:rPr>
          <w:b/>
          <w:bCs/>
        </w:rPr>
        <w:t xml:space="preserve">6.2.4 Klinische Anwendung</w:t>
      </w:r>
    </w:p>
    <w:p>
      <w:pPr>
        <w:spacing w:after="120"/>
        <w:jc w:val="left"/>
      </w:pPr>
      <w:r>
        <w:t xml:space="preserve">Der Nasolabialwinkel ist ein Schluesselparameter fuer die nicht-chirurgische Rhinoplastik (Zone Pf1, vgl. Kapitel 12). Folgende Interventionen koennen den NLA beeinflussen:</w:t>
      </w:r>
    </w:p>
    <w:p>
      <w:pPr>
        <w:spacing w:after="120"/>
        <w:ind w:left="360"/>
        <w:jc w:val="left"/>
      </w:pPr>
      <w:r>
        <w:t xml:space="preserve">• Filler im Bereich der Columella/Nasenspitze: Kann den NLA verkleinern (Tip Rotation nach oben) oder vergroessern (Tip Deprojection)</w:t>
      </w:r>
    </w:p>
    <w:p>
      <w:pPr>
        <w:spacing w:after="120"/>
        <w:ind w:left="360"/>
        <w:jc w:val="left"/>
      </w:pPr>
      <w:r>
        <w:t xml:space="preserve">• Filler im Bereich des Subnasale: Beeinflusst den Uebergangswinkel direkt</w:t>
      </w:r>
    </w:p>
    <w:p>
      <w:pPr>
        <w:spacing w:after="120"/>
        <w:ind w:left="360"/>
        <w:jc w:val="left"/>
      </w:pPr>
      <w:r>
        <w:t xml:space="preserve">• Oberlippenaugmentation (Lp1): Eine Volumenzunahme der Oberlippe kann den NLA sekundaer veraendern</w:t>
      </w:r>
    </w:p>
    <w:p>
      <w:pPr>
        <w:spacing w:after="120"/>
        <w:jc w:val="left"/>
      </w:pPr>
      <w:r>
        <w:rPr>
          <w:b/>
          <w:bCs/>
        </w:rPr>
        <w:t xml:space="preserve">ACHTUNG: Zone Pf1 ist eine HOCHRISIKO-ZONE. Die A. dorsalis nasi und die A. angularis verlaufen in unmittelbarer Naehe (vgl. Kapitel 14, Abschnitt 14.1). Injektionen in der Nasenregion erfordern hoechste Vorsicht.</w:t>
      </w:r>
    </w:p>
    <w:p>
      <w:pPr>
        <w:pStyle w:val="Heading2"/>
        <w:spacing w:after="180" w:before="360"/>
      </w:pPr>
      <w:r>
        <w:rPr>
          <w:b/>
          <w:bCs/>
        </w:rPr>
        <w:t xml:space="preserve">6.3 Steiner-Linie (S-Linie)</w:t>
      </w:r>
    </w:p>
    <w:p>
      <w:pPr>
        <w:pStyle w:val="Heading3"/>
        <w:spacing w:after="120" w:before="240"/>
      </w:pPr>
      <w:r>
        <w:rPr>
          <w:b/>
          <w:bCs/>
        </w:rPr>
        <w:t xml:space="preserve">6.3.1 Definition und Konstruktion</w:t>
      </w:r>
    </w:p>
    <w:p>
      <w:pPr>
        <w:spacing w:after="120"/>
        <w:jc w:val="left"/>
      </w:pPr>
      <w:r>
        <w:t xml:space="preserve">Die Steiner-Linie (S-Linie) wurde von Cecil C. Steiner als Alternative zur Ricketts-E-Linie eingefuehrt. Sie verbindet:</w:t>
      </w:r>
    </w:p>
    <w:p>
      <w:pPr>
        <w:spacing w:after="120"/>
        <w:ind w:left="360"/>
        <w:jc w:val="left"/>
      </w:pPr>
      <w:r>
        <w:t xml:space="preserve">• Subnasale: Der Punkt am Uebergang von Columella zu Oberlippe</w:t>
      </w:r>
    </w:p>
    <w:p>
      <w:pPr>
        <w:spacing w:after="120"/>
        <w:ind w:left="360"/>
        <w:jc w:val="left"/>
      </w:pPr>
      <w:r>
        <w:t xml:space="preserve">• Pogonion: Die Kinnspitze (Weichteil)</w:t>
      </w:r>
    </w:p>
    <w:p>
      <w:pPr>
        <w:spacing w:after="120"/>
        <w:jc w:val="left"/>
      </w:pPr>
      <w:r>
        <w:t xml:space="preserve">Im Gegensatz zur E-Linie (die von der Nasenspitze ausgeht) nutzt die Steiner-Linie die Nasenbasis als Referenz. Dadurch ist sie weniger von der Nasengroesse abhaengig und kann als ergaenzende Validierung dienen.</w:t>
      </w:r>
    </w:p>
    <w:p>
      <w:pPr>
        <w:pStyle w:val="Heading3"/>
        <w:spacing w:after="120" w:before="240"/>
      </w:pPr>
      <w:r>
        <w:rPr>
          <w:b/>
          <w:bCs/>
        </w:rPr>
        <w:t xml:space="preserve">6.3.2 Berechnung und Normwerte</w:t>
      </w:r>
    </w:p>
    <w:p>
      <w:pPr>
        <w:spacing w:after="120"/>
        <w:jc w:val="left"/>
      </w:pPr>
      <w:r>
        <w:t xml:space="preserve">Die Engine berechnet den Perpendikularabstand des Labrale superius (Oberlippenpunkt) zur Steiner-Linie:</w:t>
      </w:r>
    </w:p>
    <w:p>
      <w:pPr>
        <w:spacing w:after="120"/>
        <w:jc w:val="left"/>
      </w:pPr>
      <w:r>
        <w:t xml:space="preserve">d = point_to_line_distance(Labrale_superius, Subnasale, Pogonion)</w:t>
      </w:r>
    </w:p>
    <w:p>
      <w:pPr>
        <w:spacing w:after="120"/>
        <w:jc w:val="left"/>
      </w:pPr>
      <w:r>
        <w:t xml:space="preserve">d_mm = Kalibrierung.to_mm(d_px)</w:t>
      </w:r>
    </w:p>
    <w:p>
      <w:pPr>
        <w:spacing w:after="120"/>
        <w:jc w:val="left"/>
      </w:pPr>
      <w:r>
        <w:rPr>
          <w:b/>
          <w:bCs/>
        </w:rPr>
        <w:t xml:space="preserve">Tabelle 6.3: Interpretation der Steiner-Linie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Idealposition</w:t>
            </w:r>
          </w:p>
        </w:tc>
        <w:tc>
          <w:tcPr>
            <w:tcW w:type="dxa" w:w="4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 zur S-Linie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mm (auf der Linie) bis leicht davor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Die Oberlippe sollte die Steiner-Linie beruehren oder minimal vor ihr liegen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Positiver Wert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(vor der Linie)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Lippenprotrusion; kann auf bialveolaere Protrusion oder Ueberaugmentation hindeuten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Negativer Wert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 mm (hinter der Linie)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Retrudierte Oberlippe; Filler-Augmentation kann indiziert sein</w:t>
            </w:r>
          </w:p>
        </w:tc>
      </w:tr>
    </w:tbl>
    <w:p>
      <w:pPr>
        <w:pStyle w:val="Heading3"/>
        <w:spacing w:after="120" w:before="240"/>
      </w:pPr>
      <w:r>
        <w:rPr>
          <w:b/>
          <w:bCs/>
        </w:rPr>
        <w:t xml:space="preserve">6.3.3 Vergleich E-Linie vs. Steiner-Linie</w:t>
      </w:r>
    </w:p>
    <w:p>
      <w:pPr>
        <w:spacing w:after="120"/>
        <w:jc w:val="left"/>
      </w:pPr>
      <w:r>
        <w:t xml:space="preserve">Die gleichzeitige Analyse beider Linien ergibt ein robusteres Bild der Lippenposition:</w:t>
      </w:r>
    </w:p>
    <w:p>
      <w:pPr>
        <w:spacing w:after="120"/>
        <w:jc w:val="left"/>
      </w:pPr>
      <w:r>
        <w:rPr>
          <w:b/>
          <w:bCs/>
        </w:rPr>
        <w:t xml:space="preserve">Tabelle 6.4: Vergleich der Profillinien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80"/>
        <w:gridCol w:w="368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Eigenschaft</w:t>
            </w:r>
          </w:p>
        </w:tc>
        <w:tc>
          <w:tcPr>
            <w:tcW w:type="dxa" w:w="34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Ricketts E-Linie</w:t>
            </w:r>
          </w:p>
        </w:tc>
        <w:tc>
          <w:tcPr>
            <w:tcW w:type="dxa" w:w="36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Steiner S-Linie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Ankerpunkte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Pronasale → Pogonion</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Subnasale → Pogonion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Nasenabhaengigkeit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 (Nasenspitze als Referenz)</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Gering (Nasenbasis als Referenz)</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Idealposition Oberlippe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 bis -1 mm (hinter der Linie)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mm (auf der Linie)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Beste Anwendung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Gesamtbeurteilung des Lippenprofils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Validierung bei grosser/kleiner Nase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 System</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Primaeranalyse (e_line)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Ergaenzungsanalyse (steiner_upper_lip_mm)</w:t>
            </w:r>
          </w:p>
        </w:tc>
      </w:tr>
    </w:tbl>
    <w:p>
      <w:pPr>
        <w:spacing w:after="120"/>
        <w:jc w:val="left"/>
      </w:pPr>
      <w:r>
        <w:t xml:space="preserve">In der Praxis ist die E-Linie der Primaerparameter fuer die Zone Pf2 (Lip Projection), waehrend die Steiner-Linie als ergaenzende Validierung dient. Diskrepanzen zwischen beiden Linien weisen auf eine prominente Nase (E-Linie zeigt Retrusionseffekt, Steiner-Linie normal) oder ein retrudiertes Kinn (beide Linien abweichend) hin.</w:t>
      </w:r>
    </w:p>
    <w:p>
      <w:pPr>
        <w:pStyle w:val="Heading2"/>
        <w:spacing w:after="180" w:before="360"/>
      </w:pPr>
      <w:r>
        <w:rPr>
          <w:b/>
          <w:bCs/>
        </w:rPr>
        <w:t xml:space="preserve">6.4 Nasofrontalwinkel und Dorsumprofil</w:t>
      </w:r>
    </w:p>
    <w:p>
      <w:pPr>
        <w:pStyle w:val="Heading3"/>
        <w:spacing w:after="120" w:before="240"/>
      </w:pPr>
      <w:r>
        <w:rPr>
          <w:b/>
          <w:bCs/>
        </w:rPr>
        <w:t xml:space="preserve">6.4.1 Nasofrontalwinkel (Angulus Nasofrontalis)</w:t>
      </w:r>
    </w:p>
    <w:p>
      <w:pPr>
        <w:spacing w:after="120"/>
        <w:jc w:val="left"/>
      </w:pPr>
      <w:r>
        <w:t xml:space="preserve">Der Nasofrontalwinkel wird am Nasion (tiefster Punkt der Nasenwurzel) gemessen und durch drei Referenzpunkte definiert:</w:t>
      </w:r>
    </w:p>
    <w:p>
      <w:pPr>
        <w:spacing w:after="120"/>
        <w:ind w:left="360"/>
        <w:jc w:val="left"/>
      </w:pPr>
      <w:r>
        <w:t xml:space="preserve">• Nasion (Scheitelpunkt): Tiefster Punkt der Nasenwurzel an der Stirn-Nasen-Grenze</w:t>
      </w:r>
    </w:p>
    <w:p>
      <w:pPr>
        <w:spacing w:after="120"/>
        <w:ind w:left="360"/>
        <w:jc w:val="left"/>
      </w:pPr>
      <w:r>
        <w:t xml:space="preserve">• Glabella: Der am weitesten anterior projizierte Punkt der Stirn zwischen den Brauen</w:t>
      </w:r>
    </w:p>
    <w:p>
      <w:pPr>
        <w:spacing w:after="120"/>
        <w:ind w:left="360"/>
        <w:jc w:val="left"/>
      </w:pPr>
      <w:r>
        <w:t xml:space="preserve">• Rhinion: Der Punkt auf dem knoechernen Nasenruecken (Dorsum nasi)</w:t>
      </w:r>
    </w:p>
    <w:p>
      <w:pPr>
        <w:spacing w:after="120"/>
        <w:jc w:val="left"/>
      </w:pPr>
      <w:r>
        <w:t xml:space="preserve">Berechnung: angle_between_points(Nasion, Glabella, Rhinion)</w:t>
      </w:r>
    </w:p>
    <w:p>
      <w:pPr>
        <w:spacing w:after="120"/>
        <w:jc w:val="left"/>
      </w:pPr>
      <w:r>
        <w:rPr>
          <w:b/>
          <w:bCs/>
        </w:rPr>
        <w:t xml:space="preserve">Tabelle 6.5: Normwerte des Nasofrontalwinkels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Winkelbereich</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Implikation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115°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Spitzer NFW</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Flache Nasenwurzel; kann durch Filler im Nasion-Bereich korrigiert werden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115–135°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Harmonischer Stirn-Nasen-Uebergang mit gut definierter Nasenwurzel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135°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Stumpfer NFW</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 Nasenwurzel oder prominente Glabella; Filler-Reduktion in der Glabella oder Augmentation des Nasenrueckens</w:t>
            </w:r>
          </w:p>
        </w:tc>
      </w:tr>
    </w:tbl>
    <w:p>
      <w:pPr>
        <w:pStyle w:val="Heading3"/>
        <w:spacing w:after="120" w:before="240"/>
      </w:pPr>
      <w:r>
        <w:rPr>
          <w:b/>
          <w:bCs/>
        </w:rPr>
        <w:t xml:space="preserve">6.4.2 Dorsumprofil und Goode Ratio</w:t>
      </w:r>
    </w:p>
    <w:p>
      <w:pPr>
        <w:spacing w:after="120"/>
        <w:jc w:val="left"/>
      </w:pPr>
      <w:r>
        <w:t xml:space="preserve">Das Dorsumprofil beschreibt die Form des Nasenrueckens in der Profilansicht. Die Engine analysiert zwei Parameter:</w:t>
      </w:r>
    </w:p>
    <w:p>
      <w:pPr>
        <w:spacing w:after="120"/>
        <w:jc w:val="left"/>
      </w:pPr>
      <w:r>
        <w:rPr>
          <w:b/>
          <w:bCs/>
        </w:rPr>
        <w:t xml:space="preserve">A) Dorsumdeviation (Hump/Saddle Detection)</w:t>
      </w:r>
    </w:p>
    <w:p>
      <w:pPr>
        <w:spacing w:after="120"/>
        <w:jc w:val="left"/>
      </w:pPr>
      <w:r>
        <w:t xml:space="preserve">Die Dorsumdeviation wird als Perpendikularabstand des Rhinion (hoechster Punkt des knoechernen Nasenrueckens) von der Linie Nasion→Pronasale gemessen:</w:t>
      </w:r>
    </w:p>
    <w:p>
      <w:pPr>
        <w:spacing w:after="120"/>
        <w:jc w:val="left"/>
      </w:pPr>
      <w:r>
        <w:t xml:space="preserve">dorsum_dev = point_to_line_distance(Rhinion, Nasion, Pronasale)</w:t>
      </w:r>
    </w:p>
    <w:p>
      <w:pPr>
        <w:spacing w:after="120"/>
        <w:jc w:val="left"/>
      </w:pPr>
      <w:r>
        <w:t xml:space="preserve">dorsum_dev_mm = Kalibrierung.to_mm(dorsum_dev_px)</w:t>
      </w:r>
    </w:p>
    <w:p>
      <w:pPr>
        <w:spacing w:after="120"/>
        <w:jc w:val="left"/>
      </w:pPr>
      <w:r>
        <w:rPr>
          <w:b/>
          <w:bCs/>
        </w:rPr>
        <w:t xml:space="preserve">Tabelle 6.6: Dorsumdeviation und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3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Wert (mm)</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Befund</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(positiv)</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Dorsaler Hoecker (Hump)</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Knoechen-/Knorpelprotuberanz; non-chirurgische Korrektur durch Camouflage-Filler oberhalb und unterhalb des Hoeckers moeglich</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Gerade (Straight Dorsum)</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Ideales gerades Profil des Nasenrueckens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 mm (negativ)</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Satteldeformitaet (Saddle)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Einsenkung des Nasenrueckens; Filler-Augmentation auf dem Dorsum oder chirurgische Rekonstruktion</w:t>
            </w:r>
          </w:p>
        </w:tc>
      </w:tr>
    </w:tbl>
    <w:p>
      <w:pPr>
        <w:spacing w:after="120"/>
        <w:jc w:val="left"/>
      </w:pPr>
      <w:r>
        <w:rPr>
          <w:b/>
          <w:bCs/>
        </w:rPr>
        <w:t xml:space="preserve">B) Goode Ratio (Nasenprojektionsverhaeltnis)</w:t>
      </w:r>
    </w:p>
    <w:p>
      <w:pPr>
        <w:spacing w:after="120"/>
        <w:jc w:val="left"/>
      </w:pPr>
      <w:r>
        <w:t xml:space="preserve">Die Goode Ratio ist das Verhaeltnis von Nasenprojektion (horizontaler Abstand von Subnasale zu Pronasale) zur Nasenlaenge (Strecke Nasion→Pronasale):</w:t>
      </w:r>
    </w:p>
    <w:p>
      <w:pPr>
        <w:spacing w:after="120"/>
        <w:jc w:val="left"/>
      </w:pPr>
      <w:r>
        <w:t xml:space="preserve">Goode Ratio = Nasenprojektion_px / Nasenlaenge_px</w:t>
      </w:r>
    </w:p>
    <w:p>
      <w:pPr>
        <w:spacing w:after="120"/>
        <w:jc w:val="left"/>
      </w:pPr>
      <w:r>
        <w:rPr>
          <w:b/>
          <w:bCs/>
        </w:rPr>
        <w:t xml:space="preserve">Tabelle 6.7: Goode Ratio und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3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Verhaeltnis</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0,55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Unterprojiziert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Nasenspitze liegt zu weit posterior; kann durch Tip-Augmentation korrigiert werden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0,55–0,60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Harmonisches Verhaeltnis von Nasenprojektion zu Nasenlaenge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0,60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Ueberprojiziert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Nasenspitze liegt zu weit anterior; chirurgische Deprojektion oder kompensatorische Filler-Strategien</w:t>
            </w:r>
          </w:p>
        </w:tc>
      </w:tr>
    </w:tbl>
    <w:p>
      <w:pPr>
        <w:pStyle w:val="Heading3"/>
        <w:spacing w:after="120" w:before="240"/>
      </w:pPr>
      <w:r>
        <w:rPr>
          <w:b/>
          <w:bCs/>
        </w:rPr>
        <w:t xml:space="preserve">6.4.3 Klinische Anwendung der Nasenprofilanalyse</w:t>
      </w:r>
    </w:p>
    <w:p>
      <w:pPr>
        <w:spacing w:after="120"/>
        <w:jc w:val="left"/>
      </w:pPr>
      <w:r>
        <w:t xml:space="preserve">Die drei Nasenprofilparameter (NLA, NFW, Dorsumprofil) werden gemeinsam in der Zone Pf1 (Nasenprofil, vgl. Kapitel 9) ausgewertet. Der Severity-Score wird primaer durch die Messabweichung (Gewicht 0,7) bestimmt. Fuer die Behandlung mit dermalen Fillern (non-chirurgische Rhinoplastik) ist die genaue Kenntnis der vaskulaeren Anatomie essentiell (vgl. Kapitel 14, Abschnitt 14.1: Zone Pf1, A. dorsalis nasi und A. angularis).</w:t>
      </w:r>
    </w:p>
    <w:p>
      <w:pPr>
        <w:spacing w:after="120"/>
        <w:jc w:val="left"/>
      </w:pPr>
      <w:r>
        <w:rPr>
          <w:b/>
          <w:bCs/>
        </w:rPr>
        <w:t xml:space="preserve">Typische Filler-Strategien nach Befund:</w:t>
      </w:r>
    </w:p>
    <w:p>
      <w:pPr>
        <w:spacing w:after="120"/>
        <w:ind w:left="360"/>
        <w:jc w:val="left"/>
      </w:pPr>
      <w:r>
        <w:t xml:space="preserve">• Dorsaler Hoecker: Camouflage durch Filler-Injektion cranial (im Nasion-Bereich) und caudal (Supratip-Region) des Hoeckers, um eine gerade Linie zu erzeugen. Produkt: HA Medium (Vollure, vgl. Kapitel 11), Linear-Threading-Technik, subdermal.</w:t>
      </w:r>
    </w:p>
    <w:p>
      <w:pPr>
        <w:spacing w:after="120"/>
        <w:ind w:left="360"/>
        <w:jc w:val="left"/>
      </w:pPr>
      <w:r>
        <w:t xml:space="preserve">• Satteldeformitaet: Direkte Augmentation auf dem Dorsum. CAVE: Extrem hohe vaskulaere Risiken in dieser Zone.</w:t>
      </w:r>
    </w:p>
    <w:p>
      <w:pPr>
        <w:spacing w:after="120"/>
        <w:ind w:left="360"/>
        <w:jc w:val="left"/>
      </w:pPr>
      <w:r>
        <w:t xml:space="preserve">• Spitzer Nasofrontalwinkel: Filler-Injektion im Nasion-/Radix-Bereich zur Vertiefung des Stirn-Nasen-Uebergangs.</w:t>
      </w:r>
    </w:p>
    <w:p>
      <w:pPr>
        <w:pStyle w:val="Heading2"/>
        <w:spacing w:after="180" w:before="360"/>
      </w:pPr>
      <w:r>
        <w:rPr>
          <w:b/>
          <w:bCs/>
        </w:rPr>
        <w:t xml:space="preserve">6.5 Cervicomental Angle (Kinn-Hals-Winkel)</w:t>
      </w:r>
    </w:p>
    <w:p>
      <w:pPr>
        <w:pStyle w:val="Heading3"/>
        <w:spacing w:after="120" w:before="240"/>
      </w:pPr>
      <w:r>
        <w:rPr>
          <w:b/>
          <w:bCs/>
        </w:rPr>
        <w:t xml:space="preserve">6.5.1 Definition</w:t>
      </w:r>
    </w:p>
    <w:p>
      <w:pPr>
        <w:spacing w:after="120"/>
        <w:jc w:val="left"/>
      </w:pPr>
      <w:r>
        <w:t xml:space="preserve">Der cervicomentale Winkel (CMA) beschreibt den Uebergang von Kinn zu Hals und ist ein zentraler Indikator fuer das jugendliche Profil. Er wird gebildet durch:</w:t>
      </w:r>
    </w:p>
    <w:p>
      <w:pPr>
        <w:spacing w:after="120"/>
        <w:ind w:left="360"/>
        <w:jc w:val="left"/>
      </w:pPr>
      <w:r>
        <w:t xml:space="preserve">• Linie 1: Vom Pogonion (Kinnspitze) zum Gnathion (unterster Kinnpunkt)</w:t>
      </w:r>
    </w:p>
    <w:p>
      <w:pPr>
        <w:spacing w:after="120"/>
        <w:ind w:left="360"/>
        <w:jc w:val="left"/>
      </w:pPr>
      <w:r>
        <w:t xml:space="preserve">• Linie 2: Vom Gnathion zum Halspunkt (approximiert als Punkt unterhalb und posterior des Gnathion)</w:t>
      </w:r>
    </w:p>
    <w:p>
      <w:pPr>
        <w:spacing w:after="120"/>
        <w:jc w:val="left"/>
      </w:pPr>
      <w:r>
        <w:t xml:space="preserve">Berechnung: angle_between_points(Gnathion, Pogonion, Neck_approximate)</w:t>
      </w:r>
    </w:p>
    <w:p>
      <w:pPr>
        <w:pStyle w:val="Heading3"/>
        <w:spacing w:after="120" w:before="240"/>
      </w:pPr>
      <w:r>
        <w:rPr>
          <w:b/>
          <w:bCs/>
        </w:rPr>
        <w:t xml:space="preserve">6.5.2 Normwerte und Klassifikation</w:t>
      </w:r>
    </w:p>
    <w:p>
      <w:pPr>
        <w:spacing w:after="120"/>
        <w:jc w:val="left"/>
      </w:pPr>
      <w:r>
        <w:rPr>
          <w:b/>
          <w:bCs/>
        </w:rPr>
        <w:t xml:space="preserve">Tabelle 6.8: Normwerte des Cervicomental Angle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Winkelbereich</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105°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Akuter CMA</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Sehr definierter Kinn-Hals-Uebergang; in der Regel kein Behandlungsbedarf</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105–120°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Gut definierter Kinn-Hals-Uebergang mit jugendlichem Erscheinungsbild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120–130°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 stumpf</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Beginnende Unschaerfe; moderate Behandlungsindikation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130°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Stumpf (is_obtuse = WAHR)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Signifikante Laxizitaet; deutet auf submentales Fett, Platysma-Baender oder Kinnretrusion hin</w:t>
            </w:r>
          </w:p>
        </w:tc>
      </w:tr>
    </w:tbl>
    <w:p>
      <w:pPr>
        <w:spacing w:after="120"/>
        <w:jc w:val="left"/>
      </w:pPr>
      <w:r>
        <w:t xml:space="preserve">Im System wird ein CMA &gt; 130° automatisch als „is_obtuse“ markiert. Dieser Schwellenwert ist klinisch relevant, da er auf eine fortgeschrittene Laxizitaet hinweist, die moeglicherweise nicht allein durch Filler korrigierbar ist.</w:t>
      </w:r>
    </w:p>
    <w:p>
      <w:pPr>
        <w:pStyle w:val="Heading3"/>
        <w:spacing w:after="120" w:before="240"/>
      </w:pPr>
      <w:r>
        <w:rPr>
          <w:b/>
          <w:bCs/>
        </w:rPr>
        <w:t xml:space="preserve">6.5.3 Limitationen der Messung</w:t>
      </w:r>
    </w:p>
    <w:p>
      <w:pPr>
        <w:spacing w:after="120"/>
        <w:jc w:val="left"/>
      </w:pPr>
      <w:r>
        <w:t xml:space="preserve">Die Cervicomental-Analyse unterliegt einer systemischen Limitation: MediaPipe FaceMesh stellt keine Landmarks im Halsbereich zur Verfuegung. Die Engine approximiert den Halspunkt als einen Punkt 40 Pixel inferior und 20 Pixel posterior des Gnathion. Diese Approximation liefert klinisch brauchbare Ergebnisse, aber eine hoehere Praezision waere nur mit spezieller Hals-Landmarkerkennung moeglich.</w:t>
      </w:r>
    </w:p>
    <w:p>
      <w:pPr>
        <w:spacing w:after="120"/>
        <w:jc w:val="left"/>
      </w:pPr>
      <w:r>
        <w:t xml:space="preserve">Das Analyseergebnis kann None zurueckgeben, wenn die Landmarks im Profil nicht ausreichend sichtbar sind. In diesem Fall wird eine Quality-Warning im Ergebnis vermerkt.</w:t>
      </w:r>
    </w:p>
    <w:p>
      <w:pPr>
        <w:pStyle w:val="Heading3"/>
        <w:spacing w:after="120" w:before="240"/>
      </w:pPr>
      <w:r>
        <w:rPr>
          <w:b/>
          <w:bCs/>
        </w:rPr>
        <w:t xml:space="preserve">6.5.4 Klinische Relevanz</w:t>
      </w:r>
    </w:p>
    <w:p>
      <w:pPr>
        <w:spacing w:after="120"/>
        <w:jc w:val="left"/>
      </w:pPr>
      <w:r>
        <w:t xml:space="preserve">Der CMA ist der Primaerparameter fuer die Zone Pf3 (Chin-Neck Angle, vgl. Kapitel 9). Behandlungsoptionen nach Befund:</w:t>
      </w:r>
    </w:p>
    <w:p>
      <w:pPr>
        <w:spacing w:after="120"/>
        <w:ind w:left="360"/>
        <w:jc w:val="left"/>
      </w:pPr>
      <w:r>
        <w:t xml:space="preserve">• Stumpfer CMA durch Retrognathie: Kinnaugmentation mit HA Deep oder CaHA (Ch1, vgl. Kapitel 11) verschiebt das Pogonion nach anterior und verbessert den CMA sekundaer.</w:t>
      </w:r>
    </w:p>
    <w:p>
      <w:pPr>
        <w:spacing w:after="120"/>
        <w:ind w:left="360"/>
        <w:jc w:val="left"/>
      </w:pPr>
      <w:r>
        <w:t xml:space="preserve">• Stumpfer CMA durch submentales Fett: Filler-Behandlung allein unzureichend; Lipolyse (Deoxycholsaeure) oder chirurgische Liposuktion erwaegen.</w:t>
      </w:r>
    </w:p>
    <w:p>
      <w:pPr>
        <w:spacing w:after="120"/>
        <w:ind w:left="360"/>
        <w:jc w:val="left"/>
      </w:pPr>
      <w:r>
        <w:t xml:space="preserve">• Stumpfer CMA durch Platysma-Baender: Neurotoxin (Nefertiti-Lift) oder chirurgische Straffung.</w:t>
      </w:r>
    </w:p>
    <w:p>
      <w:pPr>
        <w:pStyle w:val="Heading2"/>
        <w:spacing w:after="180" w:before="360"/>
      </w:pPr>
      <w:r>
        <w:rPr>
          <w:b/>
          <w:bCs/>
        </w:rPr>
        <w:t xml:space="preserve">6.6 Chin Projection (Kinnprojektion)</w:t>
      </w:r>
    </w:p>
    <w:p>
      <w:pPr>
        <w:pStyle w:val="Heading3"/>
        <w:spacing w:after="120" w:before="240"/>
      </w:pPr>
      <w:r>
        <w:rPr>
          <w:b/>
          <w:bCs/>
        </w:rPr>
        <w:t xml:space="preserve">6.6.1 Messparameter</w:t>
      </w:r>
    </w:p>
    <w:p>
      <w:pPr>
        <w:spacing w:after="120"/>
        <w:jc w:val="left"/>
      </w:pPr>
      <w:r>
        <w:t xml:space="preserve">Die Kinnanalyse umfasst drei Messparameter:</w:t>
      </w:r>
    </w:p>
    <w:p>
      <w:pPr>
        <w:spacing w:after="120"/>
        <w:jc w:val="left"/>
      </w:pPr>
      <w:r>
        <w:rPr>
          <w:b/>
          <w:bCs/>
        </w:rPr>
        <w:t xml:space="preserve">A) Kinnprojektion (chin_projection_mm)</w:t>
      </w:r>
    </w:p>
    <w:p>
      <w:pPr>
        <w:spacing w:after="120"/>
        <w:jc w:val="left"/>
      </w:pPr>
      <w:r>
        <w:t xml:space="preserve">Horizontaler Abstand des Pogonion von der Subnasale-Vertikalen. Berechnung:</w:t>
      </w:r>
    </w:p>
    <w:p>
      <w:pPr>
        <w:spacing w:after="120"/>
        <w:jc w:val="left"/>
      </w:pPr>
      <w:r>
        <w:t xml:space="preserve">chin_proj_px = Pogonion.x - Subnasale.x</w:t>
      </w:r>
    </w:p>
    <w:p>
      <w:pPr>
        <w:spacing w:after="120"/>
        <w:jc w:val="left"/>
      </w:pPr>
      <w:r>
        <w:t xml:space="preserve">chin_proj_mm = Kalibrierung.to_mm(chin_proj_px)</w:t>
      </w:r>
    </w:p>
    <w:p>
      <w:pPr>
        <w:spacing w:after="120"/>
        <w:jc w:val="left"/>
      </w:pPr>
      <w:r>
        <w:t xml:space="preserve">Ein negativer Wert zeigt eine Retrognathie (Kinn hinter der Subnasale-Vertikalen) an, ein positiver Wert eine Prognathie (Kinn vor der Vertikalen).</w:t>
      </w:r>
    </w:p>
    <w:p>
      <w:pPr>
        <w:spacing w:after="120"/>
        <w:jc w:val="left"/>
      </w:pPr>
      <w:r>
        <w:rPr>
          <w:b/>
          <w:bCs/>
        </w:rPr>
        <w:t xml:space="preserve">Tabelle 6.9: Kinnprojektion und Klassifikation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Wert (mm)</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Befund</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-4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Ausgepraegt retrudiert</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 Retrognathie; chirurgische Kinnkorrektur (Genioplastik) oder starke Filler-Augmentation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bis 0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 retrudiert</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Normale bis leichte Retrognathie; Filler-Augmentation (Ch1) haeufig ausreichend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bis +2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Pogonion auf Hoehe oder leicht vor der Subnasale-Vertikalen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+4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Prominent/prognath</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Kinnprominenz; selten behandlungsbeduerftig, ausser bei Wunsch der Harmonisierung</w:t>
            </w:r>
          </w:p>
        </w:tc>
      </w:tr>
    </w:tbl>
    <w:p>
      <w:pPr>
        <w:spacing w:after="120"/>
        <w:jc w:val="left"/>
      </w:pPr>
      <w:r>
        <w:rPr>
          <w:b/>
          <w:bCs/>
        </w:rPr>
        <w:t xml:space="preserve">B) Mentolabiale Sulcus-Tiefe (mentolabial_depth_mm)</w:t>
      </w:r>
    </w:p>
    <w:p>
      <w:pPr>
        <w:spacing w:after="120"/>
        <w:jc w:val="left"/>
      </w:pPr>
      <w:r>
        <w:t xml:space="preserve">Der Mentolabiale Sulcus ist die Vertiefung zwischen Unterlippe und Kinn. Die Tiefe wird als Perpendikularabstand des Mentolabial-Sulcus-Punktes von der Linie Labrale inferius→Pogonion gemessen:</w:t>
      </w:r>
    </w:p>
    <w:p>
      <w:pPr>
        <w:spacing w:after="120"/>
        <w:jc w:val="left"/>
      </w:pPr>
      <w:r>
        <w:t xml:space="preserve">mento_depth = |point_to_line_distance(Mentolabial, Labrale_inf, Pogonion)|</w:t>
      </w:r>
    </w:p>
    <w:p>
      <w:pPr>
        <w:spacing w:after="120"/>
        <w:jc w:val="left"/>
      </w:pPr>
      <w:r>
        <w:t xml:space="preserve">Eine tiefe Mentolabiale Sulcus (&gt; 4 mm) kann den Eindruck einer Kinnprominenz verstaerken. Sie kann mit HA-Filler aufgefuellt werden, um eine harmonischere Kinn-Lippen-Linie zu erzielen.</w:t>
      </w:r>
    </w:p>
    <w:p>
      <w:pPr>
        <w:spacing w:after="120"/>
        <w:jc w:val="left"/>
      </w:pPr>
      <w:r>
        <w:rPr>
          <w:b/>
          <w:bCs/>
        </w:rPr>
        <w:t xml:space="preserve">C) Kinnhoehe (chin_height_mm)</w:t>
      </w:r>
    </w:p>
    <w:p>
      <w:pPr>
        <w:spacing w:after="120"/>
        <w:jc w:val="left"/>
      </w:pPr>
      <w:r>
        <w:t xml:space="preserve">Vertikaler Abstand vom Stomion (Mundspalt) zum Gnathion (unterster Kinnpunkt):</w:t>
      </w:r>
    </w:p>
    <w:p>
      <w:pPr>
        <w:spacing w:after="120"/>
        <w:jc w:val="left"/>
      </w:pPr>
      <w:r>
        <w:t xml:space="preserve">chin_height_px = |Gnathion.y - Stomion.y|</w:t>
      </w:r>
    </w:p>
    <w:p>
      <w:pPr>
        <w:spacing w:after="120"/>
        <w:jc w:val="left"/>
      </w:pPr>
      <w:r>
        <w:t xml:space="preserve">Die Kinnhoehe beeinflusst die Proportionen des unteren Gesichtsdrittels (vgl. Kapitel 5, Vertikale Drittel). Eine kurze Kinnhoehe bei gleichzeitiger Retrognathie verstaerkt den visuellen Effekt der Unterkieferretrudierung.</w:t>
      </w:r>
    </w:p>
    <w:p>
      <w:pPr>
        <w:pStyle w:val="Heading3"/>
        <w:spacing w:after="120" w:before="240"/>
      </w:pPr>
      <w:r>
        <w:rPr>
          <w:b/>
          <w:bCs/>
        </w:rPr>
        <w:t xml:space="preserve">6.6.2 Zusammenspiel der Profilparameter</w:t>
      </w:r>
    </w:p>
    <w:p>
      <w:pPr>
        <w:spacing w:after="120"/>
        <w:jc w:val="left"/>
      </w:pPr>
      <w:r>
        <w:t xml:space="preserve">Die sechs Profilparameter stehen in engem klinischen Zusammenhang. Die folgende Tabelle zeigt die wichtigsten Interaktionen:</w:t>
      </w:r>
    </w:p>
    <w:p>
      <w:pPr>
        <w:spacing w:after="120"/>
        <w:jc w:val="left"/>
      </w:pPr>
      <w:r>
        <w:rPr>
          <w:b/>
          <w:bCs/>
        </w:rPr>
        <w:t xml:space="preserve">Tabelle 6.10: Zusammenspiel der Profilparameter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Befund-Kombination</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Empfohlene Strategie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Retrognathie + stumpfer CMA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Kinndefizit als Primaerursache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Kinnaugmentation (Ch1) als erster Schritt; CMA verbessert sich sekundaer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Retrudierte Lippen + grosse Nase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Pseudo-Retrusion durch prominente Nase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Non-chirurgische Rhinoplastik (Pf1) kann Lippen-E-Linie-Verhaeltnis verbessern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Dorsaler Hoecker + spitzer NLA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Beides weist auf Nasendeformitaet hin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Kombinierte Camouflage: Hoecker-Korrektur + Tip-Rotation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Obtuser CMA + Jowling</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Kombination aus Kinn- und Kieferliniendefizit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Jawline-Konturierung (Jl1) + Kinnaugmentation (Ch1)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Steiner negativ + E-Linie ideal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Moegliche Kinnretrusion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Kinnprojektion evaluieren; Filler Ch1 kann Steiner-Linie normalisieren</w:t>
            </w:r>
          </w:p>
        </w:tc>
      </w:tr>
    </w:tbl>
    <w:p>
      <w:pPr>
        <w:pStyle w:val="Heading3"/>
        <w:spacing w:after="120" w:before="240"/>
      </w:pPr>
      <w:r>
        <w:rPr>
          <w:b/>
          <w:bCs/>
        </w:rPr>
        <w:t xml:space="preserve">6.6.3 Klinische Priorisierung der Profilbehandlung</w:t>
      </w:r>
    </w:p>
    <w:p>
      <w:pPr>
        <w:spacing w:after="120"/>
        <w:jc w:val="left"/>
      </w:pPr>
      <w:r>
        <w:t xml:space="preserve">Gemaess dem in Kapitel 13 beschriebenen Priorisierungssystem (STRUCTURAL_PRIORITY) werden Profilbehandlungen wie folgt eingeordnet:</w:t>
      </w:r>
    </w:p>
    <w:p>
      <w:pPr>
        <w:spacing w:after="120"/>
        <w:ind w:left="360"/>
        <w:jc w:val="left"/>
      </w:pPr>
      <w:r>
        <w:t xml:space="preserve">• Prioritaet 2: Pf3 (Chin-Neck Angle) — strukturelle Grundlage, fruehe Behandlung</w:t>
      </w:r>
    </w:p>
    <w:p>
      <w:pPr>
        <w:spacing w:after="120"/>
        <w:ind w:left="360"/>
        <w:jc w:val="left"/>
      </w:pPr>
      <w:r>
        <w:t xml:space="preserve">• Prioritaet 3: Pf1 (Nasenprofil) — unabhaengig, kann parallel zu strukturellen Behandlungen</w:t>
      </w:r>
    </w:p>
    <w:p>
      <w:pPr>
        <w:spacing w:after="120"/>
        <w:ind w:left="360"/>
        <w:jc w:val="left"/>
      </w:pPr>
      <w:r>
        <w:t xml:space="preserve">• Prioritaet 5: Pf2 (Lippenprojektion) — Verfeinerung nach struktureller Korrektur</w:t>
      </w:r>
    </w:p>
    <w:p>
      <w:pPr>
        <w:spacing w:after="120"/>
        <w:jc w:val="left"/>
      </w:pPr>
      <w:r>
        <w:t xml:space="preserve">Die Kinnaugmentation (Ch1, Prioritaet 1) sollte vor der CMA-Optimierung erfolgen, da sie den CMA sekundaer verbessert. Die Lippenprofilkorrektur (Pf2) sollte zuletzt adressiert werden, da sich die E-Linie durch Nase- und Kinnveraenderungen verschiebt.</w:t>
      </w:r>
    </w:p>
    <w:p>
      <w:pPr>
        <w:pStyle w:val="Heading2"/>
        <w:spacing w:after="180" w:before="360"/>
      </w:pPr>
      <w:r>
        <w:rPr>
          <w:b/>
          <w:bCs/>
        </w:rPr>
        <w:t xml:space="preserve">6.7 Zusammenfassung der Profilmetriken</w:t>
      </w:r>
    </w:p>
    <w:p>
      <w:pPr>
        <w:spacing w:after="120"/>
        <w:jc w:val="left"/>
      </w:pPr>
      <w:r>
        <w:t xml:space="preserve">Die folgende Gesamtuebersicht fasst alle Profilmetriken mit ihren Normwerten und klinischen Schwellenwerten zusammen:</w:t>
      </w:r>
    </w:p>
    <w:p>
      <w:pPr>
        <w:spacing w:after="120"/>
        <w:jc w:val="left"/>
      </w:pPr>
      <w:r>
        <w:rPr>
          <w:b/>
          <w:bCs/>
        </w:rPr>
        <w:t xml:space="preserve">Tabelle 6.11: Gesamtuebersicht der Profilmetriken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Metrik</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Normbereich</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Alarm-Schwelle</w:t>
            </w:r>
          </w:p>
        </w:tc>
        <w:tc>
          <w:tcPr>
            <w:tcW w:type="dxa" w:w="2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Primaerzone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 zur E-Linie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bis -1,0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 mm / &lt; -6 mm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Unterlippe zur E-Linie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 bis 0,0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 &lt; -4 mm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Nasolabialwinkel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90–105°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90° / &gt; 105°</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Nasofrontalwinkel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115–135°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115° / &gt; 135°</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Goode Ratio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0,55–0,60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0,55 / &gt; 0,60</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Dorsumdeviation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(Hump) / &lt; 0 (Sattel)</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Cervicomental Angle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105–120°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130° (obtuse)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Pf3</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Kinnprojektion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bis 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-4 mm (Retrognathie)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Steiner-Linie (OL)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Starke Deviation</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Mentolabiale Sulcus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Variabel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4 mm (tief)</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r>
    </w:tbl>
    <w:p>
      <w:pPr>
        <w:spacing w:after="120"/>
        <w:jc w:val="left"/>
      </w:pPr>
      <w:r>
        <w:rPr>
          <w:b/>
          <w:bCs/>
        </w:rPr>
        <w:t xml:space="preserve">Querverweise:</w:t>
      </w:r>
    </w:p>
    <w:p>
      <w:pPr>
        <w:spacing w:after="120"/>
        <w:jc w:val="left"/>
      </w:pPr>
      <w:r>
        <w:t xml:space="preserve">• Zonensystem: Kapitel 9 (Zonen Pf1, Pf2, Pf3, Ch1, Jl1)</w:t>
      </w:r>
    </w:p>
    <w:p>
      <w:pPr>
        <w:spacing w:after="120"/>
        <w:jc w:val="left"/>
      </w:pPr>
      <w:r>
        <w:t xml:space="preserve">• Produktauswahl: Kapitel 11 (HA Deep fuer Ch1, HA Medium fuer Pf1, HA Soft fuer Pf2)</w:t>
      </w:r>
    </w:p>
    <w:p>
      <w:pPr>
        <w:spacing w:after="120"/>
        <w:jc w:val="left"/>
      </w:pPr>
      <w:r>
        <w:t xml:space="preserve">• Sicherheit: Kapitel 14 (Vaskulaere Risikozonen Pf1, Lp1)</w:t>
      </w:r>
    </w:p>
    <w:p>
      <w:pPr>
        <w:spacing w:after="120"/>
        <w:jc w:val="left"/>
      </w:pPr>
      <w:r>
        <w:t xml:space="preserve">• Multi-View Fusion: Kapitel 10 (Profilansicht als Primaerquelle fuer Ch1, Jl1, Pf1–Pf3)</w:t>
      </w:r>
    </w:p>
    <w:p>
      <w:r>
        <w:br w:type="page"/>
      </w:r>
    </w:p>
    <w:p>
      <w:pPr>
        <w:pStyle w:val="Heading1"/>
        <w:spacing w:after="240" w:before="480"/>
      </w:pPr>
      <w:r>
        <w:rPr>
          <w:b/>
          <w:bCs/>
        </w:rPr>
        <w:t xml:space="preserve">Kapitel 7: Volumenanalyse</w:t>
      </w:r>
    </w:p>
    <w:p>
      <w:pPr>
        <w:spacing w:after="120"/>
        <w:jc w:val="left"/>
      </w:pPr>
      <w:r>
        <w:t xml:space="preserve">Der altersbedingte Volumenverlust ist einer der Hauptmechanismen der Gesichtsalterung. Im Gegensatz zur Symmetrie- und Proportionsanalyse, die primaer zweidimensionale Messungen verwenden, nutzt die Volumenanalyse die z-Koordinaten der 478 3D-Landmarks, um Tiefenverhaeltnisse im Gesicht zu quantifizieren. Damit lassen sich Volumendefizite identifizieren, die in der reinen Frontalansicht nicht sichtbar sind.</w:t>
      </w:r>
    </w:p>
    <w:p>
      <w:pPr>
        <w:spacing w:after="120"/>
        <w:jc w:val="left"/>
      </w:pPr>
      <w:r>
        <w:t xml:space="preserve">Die volume_engine des Aesthetic Biometrics Engine analysiert vier klinisch relevante Volumenkomponenten: Ogee Curve (Mittelgesichts-S-Kurve), Temporal Hollowing (Schlaefeneintiefung), Tear Trough (Traenental) und Pre-Jowl Sulcus (Haengewange). Die besten Ergebnisse werden aus der Obliqueansicht (45°) gewonnen, da hier die Tiefenunterschiede am deutlichsten sichtbar sind.</w:t>
      </w:r>
    </w:p>
    <w:p>
      <w:pPr>
        <w:pStyle w:val="Heading2"/>
        <w:spacing w:after="180" w:before="360"/>
      </w:pPr>
      <w:r>
        <w:rPr>
          <w:b/>
          <w:bCs/>
        </w:rPr>
        <w:t xml:space="preserve">7.1 Ogee Curve (Mittelgesichts-S-Kurve)</w:t>
      </w:r>
    </w:p>
    <w:p>
      <w:pPr>
        <w:spacing w:after="120"/>
        <w:jc w:val="left"/>
      </w:pPr>
      <w:r>
        <w:t xml:space="preserve">Die Ogee-Kurve (auch als S-Kurve des Mittelgesichts bezeichnet) ist die fliessende Konturlinie, die von der lateralen Stirn ueber die Wangenhoehe in die Wangenvertiefung verlaeuft. Eine gut definierte Ogee-Kurve ist ein Kennzeichen eines jugendlichen Gesichts. Ihre Abflachung ist eines der fruehesten und klinisch auffaelligsten Zeichen des Mittelgesichtsvolumenverlusts.</w:t>
      </w:r>
    </w:p>
    <w:p>
      <w:pPr>
        <w:pStyle w:val="Heading3"/>
        <w:spacing w:after="120" w:before="240"/>
      </w:pPr>
      <w:r>
        <w:rPr>
          <w:b/>
          <w:bCs/>
        </w:rPr>
        <w:t xml:space="preserve">7.1.1 Messpunkte und Tiefentransitionen</w:t>
      </w:r>
    </w:p>
    <w:p>
      <w:pPr>
        <w:spacing w:after="120"/>
        <w:jc w:val="left"/>
      </w:pPr>
      <w:r>
        <w:t xml:space="preserve">Die Ogee-Kurve wird ueber vier Tiefenpunkte entlang der malaren Region charakterisiert:</w:t>
      </w:r>
    </w:p>
    <w:p>
      <w:pPr>
        <w:spacing w:after="120"/>
        <w:ind w:left="360"/>
        <w:jc w:val="left"/>
      </w:pPr>
      <w:r>
        <w:t xml:space="preserve">• Infraorbital (Landmarks 253/23): Punkt unterhalb des Orbitarands — sollte leicht zurueckliegen</w:t>
      </w:r>
    </w:p>
    <w:p>
      <w:pPr>
        <w:spacing w:after="120"/>
        <w:ind w:left="360"/>
        <w:jc w:val="left"/>
      </w:pPr>
      <w:r>
        <w:t xml:space="preserve">• Malar High (Landmarks 329/100): Hoechster Punkt der Wangenprominenz — sollte nach vorn projizieren</w:t>
      </w:r>
    </w:p>
    <w:p>
      <w:pPr>
        <w:spacing w:after="120"/>
        <w:ind w:left="360"/>
        <w:jc w:val="left"/>
      </w:pPr>
      <w:r>
        <w:t xml:space="preserve">• Malar Low (Landmarks 425/205): Tieferer Wangenbereich — Uebergang zur Bukkalregion</w:t>
      </w:r>
    </w:p>
    <w:p>
      <w:pPr>
        <w:spacing w:after="120"/>
        <w:ind w:left="360"/>
        <w:jc w:val="left"/>
      </w:pPr>
      <w:r>
        <w:t xml:space="preserve">• Cheekbone (Landmarks 330/101): Jochbein — knoecherne Referenz</w:t>
      </w:r>
    </w:p>
    <w:p>
      <w:pPr>
        <w:spacing w:after="120"/>
        <w:jc w:val="left"/>
      </w:pPr>
      <w:r>
        <w:t xml:space="preserve">Die z-Tiefendifferenz (in mm) zwischen Malar High und Infraorbital repraesentiert die Malarprominenz. Die Differenz zwischen Cheekbone und Malar Low repraesentiert den Bukkal-Uebergang.</w:t>
      </w:r>
    </w:p>
    <w:p>
      <w:pPr>
        <w:pStyle w:val="Heading3"/>
        <w:spacing w:after="120" w:before="240"/>
      </w:pPr>
      <w:r>
        <w:rPr>
          <w:b/>
          <w:bCs/>
        </w:rPr>
        <w:t xml:space="preserve">7.1.2 Score-Berechnung</w:t>
      </w:r>
    </w:p>
    <w:p>
      <w:pPr>
        <w:spacing w:after="120"/>
        <w:jc w:val="left"/>
      </w:pPr>
      <w:r>
        <w:t xml:space="preserve">Der Ogee-Score (0–100) quantifiziert die Fliessendheit der S-Kurve:</w:t>
      </w:r>
    </w:p>
    <w:p>
      <w:pPr>
        <w:spacing w:after="120"/>
        <w:jc w:val="left"/>
      </w:pPr>
      <w:r>
        <w:rPr>
          <w:b/>
          <w:bCs/>
        </w:rPr>
        <w:t xml:space="preserve">raw_score = |malar_depth| × 10 + |buccal_transition| × 8</w:t>
      </w:r>
    </w:p>
    <w:p>
      <w:pPr>
        <w:spacing w:after="120"/>
        <w:jc w:val="left"/>
      </w:pPr>
      <w:r>
        <w:rPr>
          <w:b/>
          <w:bCs/>
        </w:rPr>
        <w:t xml:space="preserve">score = clamp(raw_score, 0, 100)</w:t>
      </w:r>
    </w:p>
    <w:p>
      <w:pPr>
        <w:spacing w:after="120"/>
        <w:jc w:val="left"/>
      </w:pPr>
      <w:r>
        <w:rPr>
          <w:b/>
          <w:bCs/>
        </w:rPr>
        <w:t xml:space="preserve">Tabelle 7.1: Ogee-Score-Interpretation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Score-Bereich</w:t>
            </w:r>
          </w:p>
        </w:tc>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c>
          <w:tcPr>
            <w:tcW w:type="dxa" w:w="4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Empfehlung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70–100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Fliessende S-Kurve; jugendlich</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 Behandlungsbedarf</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50–70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 Abflachung; fruehe Zeichen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Monitoring oder Biostimulation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30–50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 Abflachung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 (Voluma) oder CaHA (Radiesse) in Zone Ck2</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30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Skelettiertes Erscheinungsbild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Filler-Augmentation in Ck1 und Ck2</w:t>
            </w:r>
          </w:p>
        </w:tc>
      </w:tr>
    </w:tbl>
    <w:p>
      <w:pPr>
        <w:spacing w:after="120"/>
        <w:jc w:val="left"/>
      </w:pPr>
      <w:r>
        <w:t xml:space="preserve">Ein Score &lt; 60 setzt das Flag is_flattened = true, was im Zonensystem (Kapitel 9) den Severity-Score fuer Zone Ck2 direkt beeinflusst.</w:t>
      </w:r>
    </w:p>
    <w:p>
      <w:pPr>
        <w:pStyle w:val="Heading2"/>
        <w:spacing w:after="180" w:before="360"/>
      </w:pPr>
      <w:r>
        <w:rPr>
          <w:b/>
          <w:bCs/>
        </w:rPr>
        <w:t xml:space="preserve">7.2 Temporal Hollowing (Schlaefeneintiefung)</w:t>
      </w:r>
    </w:p>
    <w:p>
      <w:pPr>
        <w:spacing w:after="120"/>
        <w:jc w:val="left"/>
      </w:pPr>
      <w:r>
        <w:t xml:space="preserve">Temporal Hollowing bezeichnet die Eintiefung der Fossa temporalis, die durch Volumenverlust des M. temporalis, des temporalen Fettpolsters und der Fascia temporalis entsteht. Es ist einer der fruehesten Alterungsindikatoren und betrifft Zone T1 des Zonensystems.</w:t>
      </w:r>
    </w:p>
    <w:p>
      <w:pPr>
        <w:pStyle w:val="Heading3"/>
        <w:spacing w:after="120" w:before="240"/>
      </w:pPr>
      <w:r>
        <w:rPr>
          <w:b/>
          <w:bCs/>
        </w:rPr>
        <w:t xml:space="preserve">7.2.1 Messmethode</w:t>
      </w:r>
    </w:p>
    <w:p>
      <w:pPr>
        <w:spacing w:after="120"/>
        <w:jc w:val="left"/>
      </w:pPr>
      <w:r>
        <w:t xml:space="preserve">Die Temporaltiefe wird als z-Differenz (in mm) zwischen dem temporalen Landmark und dem lateralen Brauenlandmark gemessen:</w:t>
      </w:r>
    </w:p>
    <w:p>
      <w:pPr>
        <w:spacing w:after="120"/>
        <w:jc w:val="left"/>
      </w:pPr>
      <w:r>
        <w:rPr>
          <w:b/>
          <w:bCs/>
        </w:rPr>
        <w:t xml:space="preserve">temporal_depth = z(temporal) − z(brow_outer) — separat fuer links und rechts</w:t>
      </w:r>
    </w:p>
    <w:p>
      <w:pPr>
        <w:spacing w:after="120"/>
        <w:jc w:val="left"/>
      </w:pPr>
      <w:r>
        <w:t xml:space="preserve">Asymmetrie: asymmetry_mm = |left_depth − right_depth|</w:t>
      </w:r>
    </w:p>
    <w:p>
      <w:pPr>
        <w:spacing w:after="120"/>
        <w:jc w:val="left"/>
      </w:pPr>
      <w:r>
        <w:rPr>
          <w:b/>
          <w:bCs/>
        </w:rPr>
        <w:t xml:space="preserve">Tabelle 7.2: Temporal Hollowing — Schwellenwerte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4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temporal_depth (links oder rechts)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3,0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Hollowing detektiert (is_hollowed = true)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asymmetry_mm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Asymmetrische Eintiefung — Pathologie ausschliessen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Idealer Bereich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 bis 2,0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Zone T1 Referenzwerte (Kapitel 9)</w:t>
            </w:r>
          </w:p>
        </w:tc>
      </w:tr>
    </w:tbl>
    <w:p>
      <w:pPr>
        <w:spacing w:after="120"/>
        <w:jc w:val="left"/>
      </w:pPr>
      <w:r>
        <w:t xml:space="preserve">Behandlung: Biostimulantien (Sculptra, Radiesse) in der tiefen subkutanen Ebene. Die A. temporalis superficialis verlaeuft in dieser Region und muss geschont werden (vgl. Kapitel 14, Vaskulaere Risikozonen).</w:t>
      </w:r>
    </w:p>
    <w:p>
      <w:pPr>
        <w:pStyle w:val="Heading2"/>
        <w:spacing w:after="180" w:before="360"/>
      </w:pPr>
      <w:r>
        <w:rPr>
          <w:b/>
          <w:bCs/>
        </w:rPr>
        <w:t xml:space="preserve">7.3 Tear Trough Assessment (Traenentalanalyse)</w:t>
      </w:r>
    </w:p>
    <w:p>
      <w:pPr>
        <w:spacing w:after="120"/>
        <w:jc w:val="left"/>
      </w:pPr>
      <w:r>
        <w:t xml:space="preserve">Das Traenental (Sulcus palpebromalaris) ist die Vertiefung zwischen Unterlid und Wange. Es betrifft Zone Tt1, eine der technisch anspruchsvollsten und vaskulaer riskantesten Behandlungszonen (vgl. Kapitel 14.5).</w:t>
      </w:r>
    </w:p>
    <w:p>
      <w:pPr>
        <w:pStyle w:val="Heading3"/>
        <w:spacing w:after="120" w:before="240"/>
      </w:pPr>
      <w:r>
        <w:rPr>
          <w:b/>
          <w:bCs/>
        </w:rPr>
        <w:t xml:space="preserve">7.3.1 Tiefenmessung</w:t>
      </w:r>
    </w:p>
    <w:p>
      <w:pPr>
        <w:spacing w:after="120"/>
        <w:jc w:val="left"/>
      </w:pPr>
      <w:r>
        <w:t xml:space="preserve">Die Traenentaltiefe wird als z-Differenz zwischen dem infraorbitalen Landmark und dem Jochbein gemessen:</w:t>
      </w:r>
    </w:p>
    <w:p>
      <w:pPr>
        <w:spacing w:after="120"/>
        <w:jc w:val="left"/>
      </w:pPr>
      <w:r>
        <w:rPr>
          <w:b/>
          <w:bCs/>
        </w:rPr>
        <w:t xml:space="preserve">tear_trough_depth = z(infraorbital) − z(cheekbone) — separat links/rechts</w:t>
      </w:r>
    </w:p>
    <w:p>
      <w:pPr>
        <w:spacing w:after="120"/>
        <w:jc w:val="left"/>
      </w:pPr>
      <w:r>
        <w:t xml:space="preserve">Der Severity-Score fuer das Traenental berechnet sich aus der mittleren Tiefe:</w:t>
      </w:r>
    </w:p>
    <w:p>
      <w:pPr>
        <w:spacing w:after="120"/>
        <w:jc w:val="left"/>
      </w:pPr>
      <w:r>
        <w:rPr>
          <w:b/>
          <w:bCs/>
        </w:rPr>
        <w:t xml:space="preserve">severity = min(10, avg_depth × 2,5)</w:t>
      </w:r>
    </w:p>
    <w:p>
      <w:pPr>
        <w:spacing w:after="120"/>
        <w:jc w:val="left"/>
      </w:pPr>
      <w:r>
        <w:rPr>
          <w:b/>
          <w:bCs/>
        </w:rPr>
        <w:t xml:space="preserve">Tabelle 7.3: Tear Trough Severity-Einstufung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3200"/>
        <w:gridCol w:w="3560"/>
      </w:tblGrid>
      <w:tr>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Severity-Score</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Tiefe (mm)</w:t>
            </w:r>
          </w:p>
        </w:tc>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Einschaetzung</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Empfehlung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0–0,8</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 oder minimales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Keine Behandlung noetig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0,8–1,6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Midface-First-Strategie (Ck2/Ck3) pruefen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1,6–2,4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Moderates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 zuerst, dann Reevaluation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2,4–3,2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 Konservativ, max 0,1–0,2 ml/Seite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3,2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Schwere Deformitaet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REFERRAL: Facharzt-Abklaerung erwaegen</w:t>
            </w:r>
          </w:p>
        </w:tc>
      </w:tr>
    </w:tbl>
    <w:p>
      <w:pPr>
        <w:spacing w:after="120"/>
        <w:jc w:val="left"/>
      </w:pPr>
      <w:r>
        <w:t xml:space="preserve">Die Midface-First-Strategie (vgl. Kapitel 14.5) ist bei Zone Tt1 besonders wichtig: In vielen Faellen reduziert eine Volumenauffuellung in den Zonen Ck2 und Ck3 die Traenentaltiefe sekundaer um 30–50 %, wodurch eine direkte Behandlung des Traenentals entweder unnoetig wird oder nur mit minimalen Volumina erfolgen muss.</w:t>
      </w:r>
    </w:p>
    <w:p>
      <w:pPr>
        <w:pStyle w:val="Heading2"/>
        <w:spacing w:after="180" w:before="360"/>
      </w:pPr>
      <w:r>
        <w:rPr>
          <w:b/>
          <w:bCs/>
        </w:rPr>
        <w:t xml:space="preserve">7.4 Pre-Jowl Sulcus (Haengewange)</w:t>
      </w:r>
    </w:p>
    <w:p>
      <w:pPr>
        <w:spacing w:after="120"/>
        <w:jc w:val="left"/>
      </w:pPr>
      <w:r>
        <w:t xml:space="preserve">Der Pre-Jowl Sulcus ist die Einbuchtung lateral des Kinns, die durch Volumenatrophie und Gewebeabsenkung entsteht. Er betrifft Zone Jw1 und korreliert eng mit der Kieferlinien-Kontinuitaet (Zone Jl1).</w:t>
      </w:r>
    </w:p>
    <w:p>
      <w:pPr>
        <w:pStyle w:val="Heading3"/>
        <w:spacing w:after="120" w:before="240"/>
      </w:pPr>
      <w:r>
        <w:rPr>
          <w:b/>
          <w:bCs/>
        </w:rPr>
        <w:t xml:space="preserve">7.4.1 Messmethode</w:t>
      </w:r>
    </w:p>
    <w:p>
      <w:pPr>
        <w:spacing w:after="120"/>
        <w:jc w:val="left"/>
      </w:pPr>
      <w:r>
        <w:t xml:space="preserve">Die Jowl-Tiefe wird als z-Differenz zwischen dem Gonion (Kieferwinkel) und dem Pogonion (Kinnspitze) gemessen:</w:t>
      </w:r>
    </w:p>
    <w:p>
      <w:pPr>
        <w:spacing w:after="120"/>
        <w:jc w:val="left"/>
      </w:pPr>
      <w:r>
        <w:rPr>
          <w:b/>
          <w:bCs/>
        </w:rPr>
        <w:t xml:space="preserve">jowl_depth = z(gonion) − z(pogonion) — separat links/rechts</w:t>
      </w:r>
    </w:p>
    <w:p>
      <w:pPr>
        <w:spacing w:after="120"/>
        <w:jc w:val="left"/>
      </w:pPr>
      <w:r>
        <w:rPr>
          <w:b/>
          <w:bCs/>
        </w:rPr>
        <w:t xml:space="preserve">Tabelle 7.4: Pre-Jowl Sulcus — Schwellenwerte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4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jowl_depth (links oder rechts)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 Break detektiert (jawline_break_detected = true)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1,5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Jowl-Bildung — ggf. asymmetrische Behandlung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Beide Seiten &gt; 2 mm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Filler-Augmentation in Jw1 + Jl1 empfohlen</w:t>
            </w:r>
          </w:p>
        </w:tc>
      </w:tr>
    </w:tbl>
    <w:p>
      <w:pPr>
        <w:spacing w:after="120"/>
        <w:jc w:val="left"/>
      </w:pPr>
      <w:r>
        <w:t xml:space="preserve">Die Behandlung des Pre-Jowl Sulcus sollte immer im Kontext der gesamten unteren Gesichtskontur betrachtet werden. Haeufig ist eine Kombination aus Kinn-Augmentation (Zone Ch1, supraperiostaler Bolus) und Jawline-Definition (Zone Jl1) effektiver als eine isolierte Jowl-Behandlung. Das Priorisierungssystem (vgl. Kapitel 13) ordnet Ch1 und Jl1 in die strukturelle Prioritaetsstufe P2 ein, waehrend Jw1 als Volumendefizit in P3 klassifiziert ist.</w:t>
      </w:r>
    </w:p>
    <w:p>
      <w:r>
        <w:br w:type="page"/>
      </w:r>
    </w:p>
    <w:p>
      <w:pPr>
        <w:pStyle w:val="Heading1"/>
        <w:spacing w:after="240" w:before="480"/>
      </w:pPr>
      <w:r>
        <w:rPr>
          <w:b/>
          <w:bCs/>
        </w:rPr>
        <w:t xml:space="preserve">Kapitel 8: Altersbedingte Veränderungen</w:t>
      </w:r>
    </w:p>
    <w:p>
      <w:pPr>
        <w:spacing w:after="120"/>
        <w:jc w:val="left"/>
      </w:pPr>
      <w:r>
        <w:t xml:space="preserve">Die Gesichtsalterung ist ein multifaktorieller Prozess, der knoecherne Resorption, Fettkompartiment-Verschiebung, Muskeltonusveraenderungen und Hauterschlaffung umfasst. Die aging_engine des Aesthetic Biometrics Engine quantifiziert drei Aspekte der Alterung, die aus den 478 Landmark-Koordinaten und den 52 Blendshape-Koeffizienten abgeleitet werden koennen: Muskeltonus-Veraenderungen, gravitationelle Drift und periorbitale Alterung.</w:t>
      </w:r>
    </w:p>
    <w:p>
      <w:pPr>
        <w:spacing w:after="120"/>
        <w:jc w:val="left"/>
      </w:pPr>
      <w:r>
        <w:rPr>
          <w:b/>
          <w:bCs/>
        </w:rPr>
        <w:t xml:space="preserve">WICHTIG: Blendshapes sind viewgebunden und werden NICHT ueber verschiedene Aufnahmen fusioniert. Die Aging-Analyse wird typischerweise auf der Frontalansicht durchgefuehrt.</w:t>
      </w:r>
    </w:p>
    <w:p>
      <w:pPr>
        <w:pStyle w:val="Heading2"/>
        <w:spacing w:after="180" w:before="360"/>
      </w:pPr>
      <w:r>
        <w:rPr>
          <w:b/>
          <w:bCs/>
        </w:rPr>
        <w:t xml:space="preserve">8.1 Muskeltonus-Veränderungen</w:t>
      </w:r>
    </w:p>
    <w:p>
      <w:pPr>
        <w:spacing w:after="120"/>
        <w:jc w:val="left"/>
      </w:pPr>
      <w:r>
        <w:t xml:space="preserve">Die mimische Muskulatur veraendert sich im Laufe des Lebens: Bestimmte Muskeln werden hyperaktiv (chronische Kontraktion fuehrt zu Faltenbildung), waehrend andere an Tonus verlieren (Erschlaffung fuehrt zu Ptosis und Konturverlust). Die Blendshape-Analyse ermoeglicht eine nicht-invasive Abschaetzung dieser Veraenderungen.</w:t>
      </w:r>
    </w:p>
    <w:p>
      <w:pPr>
        <w:pStyle w:val="Heading3"/>
        <w:spacing w:after="120" w:before="240"/>
      </w:pPr>
      <w:r>
        <w:rPr>
          <w:b/>
          <w:bCs/>
        </w:rPr>
        <w:t xml:space="preserve">8.1.1 Blendshape-zu-Muskel-Mapping</w:t>
      </w:r>
    </w:p>
    <w:p>
      <w:pPr>
        <w:spacing w:after="120"/>
        <w:jc w:val="left"/>
      </w:pPr>
      <w:r>
        <w:t xml:space="preserve">Das System gruppiert die 52 Blendshape-Koeffizienten in vier klinisch relevante Muskelgruppen:</w:t>
      </w:r>
    </w:p>
    <w:p>
      <w:pPr>
        <w:spacing w:after="120"/>
        <w:jc w:val="left"/>
      </w:pPr>
      <w:r>
        <w:rPr>
          <w:b/>
          <w:bCs/>
        </w:rPr>
        <w:t xml:space="preserve">Tabelle 8.1: Blendshape-Gruppen und ihre klinische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Muskelgruppe</w:t>
            </w:r>
          </w:p>
        </w:tc>
        <w:tc>
          <w:tcPr>
            <w:tcW w:type="dxa" w:w="3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Blendshapes</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 bei erhoehter Ruheaktivierung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Frontalis (Stirnheber)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browInnerUp, browOuterUpLeft, browOuterUpRight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Kompensatorische Hyperaktivitaet bei Brauenptosis; horizontale Stirnfalten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Corrugator (Brauensenker)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browDownLeft, browDownRight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Glabella-„11-Linien“; chronische Muskelspannung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Orbicularis (perioral)</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mouthPucker, mouthFunnel, mouthPressLeft, mouthPressRight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Niedriger Tonus deutet auf periorale Alterung hin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Masseter (Kiefer)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jawOpen, jawForward, jawLeft, jawRight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Erhoehte Aktivitaet bei Bruxismus/Kieferpressen</w:t>
            </w:r>
          </w:p>
        </w:tc>
      </w:tr>
    </w:tbl>
    <w:p>
      <w:pPr>
        <w:pStyle w:val="Heading3"/>
        <w:spacing w:after="120" w:before="240"/>
      </w:pPr>
      <w:r>
        <w:rPr>
          <w:b/>
          <w:bCs/>
        </w:rPr>
        <w:t xml:space="preserve">8.1.2 Severity-Berechnung</w:t>
      </w:r>
    </w:p>
    <w:p>
      <w:pPr>
        <w:spacing w:after="120"/>
        <w:jc w:val="left"/>
      </w:pPr>
      <w:r>
        <w:t xml:space="preserve">Der overall_muscle_age_indicator (0–10) berechnet sich aus den gemittelten Blendshape-Werten der vier Gruppen:</w:t>
      </w:r>
    </w:p>
    <w:p>
      <w:pPr>
        <w:spacing w:after="120"/>
        <w:jc w:val="left"/>
      </w:pPr>
      <w:r>
        <w:rPr>
          <w:b/>
          <w:bCs/>
        </w:rPr>
        <w:t xml:space="preserve">severity = frontalis × 3,0 + corrugator × 3,0 + (1 − orbicularis) × 2,0 + masseter × 2,0</w:t>
      </w:r>
    </w:p>
    <w:p>
      <w:pPr>
        <w:spacing w:after="120"/>
        <w:jc w:val="left"/>
      </w:pPr>
      <w:r>
        <w:t xml:space="preserve">Hierbei wird die Orbicularis-Aktivierung invertiert: Ein niedriger Orbicularis-Tonus (Wert nahe 0) erhoet den Severity-Score, da dies auf periorale Erschlaffung hindeutet. Frontalis und Corrugator erhalten die hoechste Gewichtung (je 3,0), da ihre Hyperaktivitaet die haeufigste Neurotoxin-Indikation darstellt (vgl. Kapitel 11, Tabelle 11.2).</w:t>
      </w:r>
    </w:p>
    <w:p>
      <w:pPr>
        <w:spacing w:after="120"/>
        <w:jc w:val="left"/>
      </w:pPr>
      <w:r>
        <w:rPr>
          <w:b/>
          <w:bCs/>
        </w:rPr>
        <w:t xml:space="preserve">Interpretation der Muskeltonus-Werte:</w:t>
      </w:r>
    </w:p>
    <w:p>
      <w:pPr>
        <w:spacing w:after="120"/>
        <w:ind w:left="360"/>
        <w:jc w:val="left"/>
      </w:pPr>
      <w:r>
        <w:t xml:space="preserve">• frontalis_compensation &gt; 0,15: Kompensatorische Brauenhebung — Vorsicht bei isolierter Frontalis-Behandlung (Ptosis-Risiko, vgl. Kapitel 14.4)</w:t>
      </w:r>
    </w:p>
    <w:p>
      <w:pPr>
        <w:spacing w:after="120"/>
        <w:ind w:left="360"/>
        <w:jc w:val="left"/>
      </w:pPr>
      <w:r>
        <w:t xml:space="preserve">• corrugator_activity &gt; 0,20: Erhoehte Glabella-Spannung in Ruhe — Neurotoxin-Indikation fuer Zone Bw2</w:t>
      </w:r>
    </w:p>
    <w:p>
      <w:pPr>
        <w:spacing w:after="120"/>
        <w:ind w:left="360"/>
        <w:jc w:val="left"/>
      </w:pPr>
      <w:r>
        <w:t xml:space="preserve">• orbicularis_tone &lt; 0,05: Periorale Hypotonie — Lip Flip oder periorale Behandlung in Betracht ziehen</w:t>
      </w:r>
    </w:p>
    <w:p>
      <w:pPr>
        <w:spacing w:after="120"/>
        <w:ind w:left="360"/>
        <w:jc w:val="left"/>
      </w:pPr>
      <w:r>
        <w:t xml:space="preserve">• masseter_activity &gt; 0,15: Moeglicher Bruxismus — Masseter-Hypertrophie-Behandlung mit Neurotoxin erwaegen</w:t>
      </w:r>
    </w:p>
    <w:p>
      <w:pPr>
        <w:pStyle w:val="Heading2"/>
        <w:spacing w:after="180" w:before="360"/>
      </w:pPr>
      <w:r>
        <w:rPr>
          <w:b/>
          <w:bCs/>
        </w:rPr>
        <w:t xml:space="preserve">8.2 Gravitationelle Drift</w:t>
      </w:r>
    </w:p>
    <w:p>
      <w:pPr>
        <w:spacing w:after="120"/>
        <w:jc w:val="left"/>
      </w:pPr>
      <w:r>
        <w:t xml:space="preserve">Mit zunehmendem Alter sinken die Weichgewebe des Gesichts unter dem Einfluss der Schwerkraft nach inferior ab. Dieser als gravitationelle Drift bezeichnete Prozess betrifft alle Gesichtsschichten: Haut, SMAS, Fettkompartimente und Retaining Ligaments. Die Analyse misst die vertikale Verschiebung von Landmarks relativ zu idealen (jugendlichen) Positionen.</w:t>
      </w:r>
    </w:p>
    <w:p>
      <w:pPr>
        <w:pStyle w:val="Heading3"/>
        <w:spacing w:after="120" w:before="240"/>
      </w:pPr>
      <w:r>
        <w:rPr>
          <w:b/>
          <w:bCs/>
        </w:rPr>
        <w:t xml:space="preserve">8.2.1 Drei Driftindikatoren</w:t>
      </w:r>
    </w:p>
    <w:p>
      <w:pPr>
        <w:spacing w:after="120"/>
        <w:jc w:val="left"/>
      </w:pPr>
      <w:r>
        <w:rPr>
          <w:b/>
          <w:bCs/>
        </w:rPr>
        <w:t xml:space="preserve">Tabelle 8.2: Gravitationelle Driftindikatoren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560"/>
      </w:tblGrid>
      <w:tr>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Indikator</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Messung</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Ideale Distanz (Pixel)</w:t>
            </w:r>
          </w:p>
        </w:tc>
        <w:tc>
          <w:tcPr>
            <w:tcW w:type="dxa" w:w="2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Betroffene Zonen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Brauendeszensus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Vertikaler Abstand Brauenpeak → Augenaussenwinkel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40 px</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 Fo1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Malardeszensus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 Position Jochbein relativ zu Augenlinie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50 px unter Augenlinie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 Ck3, Ns1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Jowl-Deszensus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Vertikaler Abstand Mundwinkel → Gonion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80 px</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Jw1, Jl1, Mn1</w:t>
            </w:r>
          </w:p>
        </w:tc>
      </w:tr>
    </w:tbl>
    <w:p>
      <w:pPr>
        <w:spacing w:after="120"/>
        <w:jc w:val="left"/>
      </w:pPr>
      <w:r>
        <w:t xml:space="preserve">Die Berechnung in Millimetern: Fuer jeden Indikator wird die Differenz zwischen der gemessenen und der idealen Distanz berechnet, konvertiert in mm ueber die Kalibrierung. Ein positiver Wert (in mm) repraesentiert den Grad der Absenkung.</w:t>
      </w:r>
    </w:p>
    <w:p>
      <w:pPr>
        <w:spacing w:after="120"/>
        <w:jc w:val="left"/>
      </w:pPr>
      <w:r>
        <w:t xml:space="preserve">Der overall_drift_score (0–10) ist der Mittelwert der drei Driftindikatoren in mm:</w:t>
      </w:r>
    </w:p>
    <w:p>
      <w:pPr>
        <w:spacing w:after="120"/>
        <w:jc w:val="left"/>
      </w:pPr>
      <w:r>
        <w:rPr>
          <w:b/>
          <w:bCs/>
        </w:rPr>
        <w:t xml:space="preserve">drift_score = min(10, (brow_descent_mm + malar_descent_mm + jowl_descent_mm) / 3)</w:t>
      </w:r>
    </w:p>
    <w:p>
      <w:pPr>
        <w:pStyle w:val="Heading3"/>
        <w:spacing w:after="120" w:before="240"/>
      </w:pPr>
      <w:r>
        <w:rPr>
          <w:b/>
          <w:bCs/>
        </w:rPr>
        <w:t xml:space="preserve">8.2.2 Klinische Einordnung</w:t>
      </w:r>
    </w:p>
    <w:p>
      <w:pPr>
        <w:spacing w:after="120"/>
        <w:ind w:left="360"/>
        <w:jc w:val="left"/>
      </w:pPr>
      <w:r>
        <w:t xml:space="preserve">• Drift-Score &lt; 2,0: Minimale Absenkung; typisch fuer Patienten unter 35 Jahren</w:t>
      </w:r>
    </w:p>
    <w:p>
      <w:pPr>
        <w:spacing w:after="120"/>
        <w:ind w:left="360"/>
        <w:jc w:val="left"/>
      </w:pPr>
      <w:r>
        <w:t xml:space="preserve">• Drift-Score 2,0–4,0: Moderate Absenkung; Volumenrestauration kann die Ptosis teilweise korrigieren</w:t>
      </w:r>
    </w:p>
    <w:p>
      <w:pPr>
        <w:spacing w:after="120"/>
        <w:ind w:left="360"/>
        <w:jc w:val="left"/>
      </w:pPr>
      <w:r>
        <w:t xml:space="preserve">• Drift-Score 4,0–6,0: Fortgeschrittene Absenkung; kombinierte Behandlung (Filler + Neurotoxin) empfohlen</w:t>
      </w:r>
    </w:p>
    <w:p>
      <w:pPr>
        <w:spacing w:after="120"/>
        <w:ind w:left="360"/>
        <w:jc w:val="left"/>
      </w:pPr>
      <w:r>
        <w:t xml:space="preserve">• Drift-Score &gt; 6,0: Ausgepragte Ptosis; chirurgische Optionen (Facelift) in Betracht ziehen</w:t>
      </w:r>
    </w:p>
    <w:p>
      <w:pPr>
        <w:pStyle w:val="Heading2"/>
        <w:spacing w:after="180" w:before="360"/>
      </w:pPr>
      <w:r>
        <w:rPr>
          <w:b/>
          <w:bCs/>
        </w:rPr>
        <w:t xml:space="preserve">8.3 Periorbitale Alterung</w:t>
      </w:r>
    </w:p>
    <w:p>
      <w:pPr>
        <w:spacing w:after="120"/>
        <w:jc w:val="left"/>
      </w:pPr>
      <w:r>
        <w:t xml:space="preserve">Die periorbitale Region (Augenumgebung) altert aufgrund der extrem duennen Haut und der oberflaechen Gefaessstruktur besonders frueh und sichtbar. Die Analyse erfasst drei Indikatoren:</w:t>
      </w:r>
    </w:p>
    <w:p>
      <w:pPr>
        <w:pStyle w:val="Heading3"/>
        <w:spacing w:after="120" w:before="240"/>
      </w:pPr>
      <w:r>
        <w:rPr>
          <w:b/>
          <w:bCs/>
        </w:rPr>
        <w:t xml:space="preserve">8.3.1 Crow’s Feet Potential</w:t>
      </w:r>
    </w:p>
    <w:p>
      <w:pPr>
        <w:spacing w:after="120"/>
        <w:jc w:val="left"/>
      </w:pPr>
      <w:r>
        <w:t xml:space="preserve">Die Kraehenfuesse (laterale Periorbitalfalten) korrelieren mit der Aktivitaet des M. orbicularis oculi. Der crow_feet_potential-Wert (0–1) wird aus den eyeSquint-Blendshapes abgeleitet:</w:t>
      </w:r>
    </w:p>
    <w:p>
      <w:pPr>
        <w:spacing w:after="120"/>
        <w:jc w:val="left"/>
      </w:pPr>
      <w:r>
        <w:rPr>
          <w:b/>
          <w:bCs/>
        </w:rPr>
        <w:t xml:space="preserve">crow_feet_potential = avg(eyeSquintLeft, eyeSquintRight)</w:t>
      </w:r>
    </w:p>
    <w:p>
      <w:pPr>
        <w:spacing w:after="120"/>
        <w:jc w:val="left"/>
      </w:pPr>
      <w:r>
        <w:t xml:space="preserve">Ein Wert &gt; 0,3 in Ruhe deutet auf eine erhoehte Tendenz zur Kraehenfuessbildung hin und ist eine Neurotoxin-Indikation fuer den lateralen Orbicularis oculi.</w:t>
      </w:r>
    </w:p>
    <w:p>
      <w:pPr>
        <w:pStyle w:val="Heading3"/>
        <w:spacing w:after="120" w:before="240"/>
      </w:pPr>
      <w:r>
        <w:rPr>
          <w:b/>
          <w:bCs/>
        </w:rPr>
        <w:t xml:space="preserve">8.3.2 Unterlidlaxitaet</w:t>
      </w:r>
    </w:p>
    <w:p>
      <w:pPr>
        <w:spacing w:after="120"/>
        <w:jc w:val="left"/>
      </w:pPr>
      <w:r>
        <w:t xml:space="preserve">Die Unterlidlaxitaet wird aus der vertikalen Distanz zwischen dem infraorbitalen Landmark und der Augenmitte geschaetzt:</w:t>
      </w:r>
    </w:p>
    <w:p>
      <w:pPr>
        <w:spacing w:after="120"/>
        <w:jc w:val="left"/>
      </w:pPr>
      <w:r>
        <w:t xml:space="preserve">lid_gap_mm = Kalibrierung(|infraorbital_y − eye_center_y|)</w:t>
      </w:r>
    </w:p>
    <w:p>
      <w:pPr>
        <w:spacing w:after="120"/>
        <w:jc w:val="left"/>
      </w:pPr>
      <w:r>
        <w:rPr>
          <w:b/>
          <w:bCs/>
        </w:rPr>
        <w:t xml:space="preserve">lid_laxity = min(1,0, lid_gap_mm / 15,0)</w:t>
      </w:r>
    </w:p>
    <w:p>
      <w:pPr>
        <w:spacing w:after="120"/>
        <w:jc w:val="left"/>
      </w:pPr>
      <w:r>
        <w:t xml:space="preserve">Werte &gt; 0,5 deuten auf eine signifikante Unterliderschlaffung hin, die die Traenental-Behandlung (Zone Tt1) erschweren kann. In solchen Faellen ist besondere Vorsicht geboten, da der Filler unter dem erschlafften Lid sichtbar werden kann (Tyndall-Effekt, vgl. Kapitel 14.5).</w:t>
      </w:r>
    </w:p>
    <w:p>
      <w:pPr>
        <w:pStyle w:val="Heading3"/>
        <w:spacing w:after="120" w:before="240"/>
      </w:pPr>
      <w:r>
        <w:rPr>
          <w:b/>
          <w:bCs/>
        </w:rPr>
        <w:t xml:space="preserve">8.3.3 Orbitale Einsenkung</w:t>
      </w:r>
    </w:p>
    <w:p>
      <w:pPr>
        <w:spacing w:after="120"/>
        <w:jc w:val="left"/>
      </w:pPr>
      <w:r>
        <w:t xml:space="preserve">Die orbitale Einsenkung (Orbital Hollowing) wird aus der z-Tiefendifferenz zwischen dem infraorbitalen und dem Jochbein-Landmark abgeleitet:</w:t>
      </w:r>
    </w:p>
    <w:p>
      <w:pPr>
        <w:spacing w:after="120"/>
        <w:jc w:val="left"/>
      </w:pPr>
      <w:r>
        <w:rPr>
          <w:b/>
          <w:bCs/>
        </w:rPr>
        <w:t xml:space="preserve">hollowing = min(1,0, Kalibrierung(|z_infraorbital − z_cheekbone|) / 5,0)</w:t>
      </w:r>
    </w:p>
    <w:p>
      <w:pPr>
        <w:spacing w:after="120"/>
        <w:jc w:val="left"/>
      </w:pPr>
      <w:r>
        <w:t xml:space="preserve">Dieser Indikator erfasst den skelettalen Anteil der periorbitalen Alterung, der durch Volumenverlust des infraorbitalen Fettpolsters und knoecherne Resorption des Orbitarands entsteht.</w:t>
      </w:r>
    </w:p>
    <w:p>
      <w:pPr>
        <w:pStyle w:val="Heading3"/>
        <w:spacing w:after="120" w:before="240"/>
      </w:pPr>
      <w:r>
        <w:rPr>
          <w:b/>
          <w:bCs/>
        </w:rPr>
        <w:t xml:space="preserve">8.3.4 Composite Aging Severity</w:t>
      </w:r>
    </w:p>
    <w:p>
      <w:pPr>
        <w:spacing w:after="120"/>
        <w:jc w:val="left"/>
      </w:pPr>
      <w:r>
        <w:t xml:space="preserve">Der overall_aging_severity-Score (0–10) kombiniert alle drei Alterungskomponenten in einem gewichteten Composite:</w:t>
      </w:r>
    </w:p>
    <w:p>
      <w:pPr>
        <w:spacing w:after="120"/>
        <w:jc w:val="left"/>
      </w:pPr>
      <w:r>
        <w:rPr>
          <w:b/>
          <w:bCs/>
        </w:rPr>
        <w:t xml:space="preserve">severity = muscle_severity × 0,3 + drift_score × 0,5 + (crow_feet + lid_laxity) × 5 × 0,2</w:t>
      </w:r>
    </w:p>
    <w:p>
      <w:pPr>
        <w:spacing w:after="120"/>
        <w:jc w:val="left"/>
      </w:pPr>
      <w:r>
        <w:t xml:space="preserve">Die Gewichtung priorisiert die gravitationelle Drift (50 %) als dominanten Alterungsindikator, gefolgt von Muskeltonus-Veraenderungen (30 %) und periorbitalen Befunden (20 %).</w:t>
      </w:r>
    </w:p>
    <w:p>
      <w:pPr>
        <w:spacing w:after="120"/>
        <w:jc w:val="left"/>
      </w:pPr>
      <w:r>
        <w:rPr>
          <w:b/>
          <w:bCs/>
        </w:rPr>
        <w:t xml:space="preserve">Tabelle 8.3: Biologische Altersschaetzung aus Aging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360"/>
      </w:tblGrid>
      <w:tr>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Severity-Score</w:t>
            </w:r>
          </w:p>
        </w:tc>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Geschaetztes biologisches Alter</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Befunde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25–30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Minimale Veraenderungen; guter Muskeltonus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1,5–3,0</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30–35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Beginnende Frontalis-Kompensation; leichtes Temporal Hollowing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3,0–4,5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35–40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Moderate Drift; Nasolabialfalte sichtbar; erste Kraehenfuesse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4,5–6,0</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40–45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 Midface-Ptosis; Ogee-Abflachung; Jowl-Ansaetze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6,0–7,5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45–55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Fortgeschrittene Alterung; ausgepraete Jowls; tiefes Traenental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7,5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Schwere Gesamtalterung; chirurgische Evaluation erwaegen</w:t>
            </w:r>
          </w:p>
        </w:tc>
      </w:tr>
    </w:tbl>
    <w:p>
      <w:pPr>
        <w:spacing w:after="120"/>
        <w:jc w:val="left"/>
      </w:pPr>
      <w:r>
        <w:rPr>
          <w:b/>
          <w:bCs/>
        </w:rPr>
        <w:t xml:space="preserve">WICHTIG: Die biologische Altersschaetzung ist eine Approximation und kann erheblich vom chronologischen Alter abweichen. Faktoren wie Sonnenschutz, Genetik, Rauchen und vorangegangene Behandlungen beeinflussen das biologische Alter erheblich. Der Score dient als klinische Orientierung, nicht als diagnostisches Instrument.</w:t>
      </w:r>
    </w:p>
    <w:p>
      <w:r>
        <w:br w:type="page"/>
      </w:r>
    </w:p>
    <w:p>
      <w:pPr>
        <w:pStyle w:val="Heading1"/>
        <w:spacing w:after="240" w:before="480"/>
      </w:pPr>
      <w:r>
        <w:rPr>
          <w:b/>
          <w:bCs/>
        </w:rPr>
        <w:t xml:space="preserve">Teil III — Das Zonen-System</w:t>
      </w:r>
    </w:p>
    <w:p>
      <w:pPr>
        <w:pStyle w:val="Heading1"/>
        <w:spacing w:after="240" w:before="480"/>
      </w:pPr>
      <w:r>
        <w:rPr>
          <w:b/>
          <w:bCs/>
        </w:rPr>
        <w:t xml:space="preserve">Kapitel 9: Die 19 Behandlungszonen</w:t>
      </w:r>
    </w:p>
    <w:p>
      <w:pPr>
        <w:spacing w:after="120"/>
        <w:jc w:val="left"/>
      </w:pPr>
      <w:r>
        <w:t xml:space="preserve">Die systematische Gesichtsanalyse erfordert ein standardisiertes Zonensystem, das anatomische Strukturen mit klinischen Behandlungsoptionen verknüpft. Inspiriert von de Maios MD-Codes-Konzept (2021) definiert das hier vorgestellte System 19 anatomische Behandlungszonen, die das gesamte Gesicht abdecken. Jede Zone ist durch spezifische Landmarks, Referenzwerte und Behandlungsimplikationen charakterisiert.</w:t>
      </w:r>
    </w:p>
    <w:p>
      <w:pPr>
        <w:spacing w:after="120"/>
        <w:jc w:val="left"/>
      </w:pPr>
      <w:r>
        <w:t xml:space="preserve">Der entscheidende Vorteil dieses Ansatzes gegenüber einer rein messwertbasierten Analyse liegt in der direkten klinischen Anwendbarkeit: Statt abstrakter Zahlen wie „Symmetrie-Score: 87“ erhält der Behandler eine zonenspezifische Aussage mit Schweregrad, Befunden und konkreten Behandlungsempfehlungen.</w:t>
      </w:r>
    </w:p>
    <w:p>
      <w:pPr>
        <w:pStyle w:val="Heading2"/>
        <w:spacing w:after="180" w:before="360"/>
      </w:pPr>
      <w:r>
        <w:rPr>
          <w:b/>
          <w:bCs/>
        </w:rPr>
        <w:t xml:space="preserve">9.1 Systematik des Zonensystems</w:t>
      </w:r>
    </w:p>
    <w:p>
      <w:pPr>
        <w:spacing w:after="120"/>
        <w:jc w:val="left"/>
      </w:pPr>
      <w:r>
        <w:t xml:space="preserve">Das Zonensystem gliedert das Gesicht in vier Hauptregionen:</w:t>
      </w:r>
    </w:p>
    <w:p>
      <w:pPr>
        <w:spacing w:after="120"/>
        <w:ind w:left="360"/>
        <w:jc w:val="left"/>
      </w:pPr>
      <w:r>
        <w:t xml:space="preserve">• Upper Face (Oberes Gesichtsdrittel): Temporalregion, Brauen, Glabella, Stirn</w:t>
      </w:r>
    </w:p>
    <w:p>
      <w:pPr>
        <w:spacing w:after="120"/>
        <w:ind w:left="360"/>
        <w:jc w:val="left"/>
      </w:pPr>
      <w:r>
        <w:t xml:space="preserve">• Midface (Mittelgesicht): Jochbogen, Wangenhöhe, Mittelwange, Tränental, Nasolabialfalte</w:t>
      </w:r>
    </w:p>
    <w:p>
      <w:pPr>
        <w:spacing w:after="120"/>
        <w:ind w:left="360"/>
        <w:jc w:val="left"/>
      </w:pPr>
      <w:r>
        <w:t xml:space="preserve">• Lower Face (Unteres Gesichtsdrittel): Lippen, Marionettenfalten, Kinn, Kieferlinie</w:t>
      </w:r>
    </w:p>
    <w:p>
      <w:pPr>
        <w:spacing w:after="120"/>
        <w:ind w:left="360"/>
        <w:jc w:val="left"/>
      </w:pPr>
      <w:r>
        <w:t xml:space="preserve">• Profile (Profilspezifisch): Nasenprofil, Lippenprojektion, Kinn-Hals-Winkel</w:t>
      </w:r>
    </w:p>
    <w:p>
      <w:pPr>
        <w:spacing w:after="120"/>
        <w:jc w:val="left"/>
      </w:pPr>
      <w:r>
        <w:t xml:space="preserve">Jede Zone besitzt folgende Attribute:</w:t>
      </w:r>
    </w:p>
    <w:p>
      <w:pPr>
        <w:spacing w:after="120"/>
        <w:jc w:val="left"/>
      </w:pPr>
      <w:r>
        <w:t xml:space="preserve">– Zone-ID: Eindeutiger Bezeichner (z. B. Ck2 für Zygomatic Eminence)</w:t>
      </w:r>
    </w:p>
    <w:p>
      <w:pPr>
        <w:spacing w:after="120"/>
        <w:jc w:val="left"/>
      </w:pPr>
      <w:r>
        <w:t xml:space="preserve">– Landmarks: Welche der 478 Gesichtspunkte die Zone definieren</w:t>
      </w:r>
    </w:p>
    <w:p>
      <w:pPr>
        <w:spacing w:after="120"/>
        <w:jc w:val="left"/>
      </w:pPr>
      <w:r>
        <w:t xml:space="preserve">– Referenzwerte: Idealbereiche für klinische Messungen (in mm, Grad oder Scores)</w:t>
      </w:r>
    </w:p>
    <w:p>
      <w:pPr>
        <w:spacing w:after="120"/>
        <w:jc w:val="left"/>
      </w:pPr>
      <w:r>
        <w:t xml:space="preserve">– View-Priorität: Welche Kameraposition (frontal, profil, oblique) primär für die Analyse genutzt wird</w:t>
      </w:r>
    </w:p>
    <w:p>
      <w:pPr>
        <w:spacing w:after="120"/>
        <w:jc w:val="left"/>
      </w:pPr>
      <w:r>
        <w:t xml:space="preserve">– Severity-Gewichte: Welche Faktoren (Messabweichung, Volumendefizit, Asymmetrie, Alterung) den Schweregrad am stärksten beeinflussen</w:t>
      </w:r>
    </w:p>
    <w:p>
      <w:pPr>
        <w:pStyle w:val="Heading2"/>
        <w:spacing w:after="180" w:before="360"/>
      </w:pPr>
      <w:r>
        <w:rPr>
          <w:b/>
          <w:bCs/>
        </w:rPr>
        <w:t xml:space="preserve">9.2 Upper Face</w:t>
      </w:r>
    </w:p>
    <w:p>
      <w:pPr>
        <w:pStyle w:val="Heading3"/>
        <w:spacing w:after="120" w:before="240"/>
      </w:pPr>
      <w:r>
        <w:rPr>
          <w:b/>
          <w:bCs/>
        </w:rPr>
        <w:t xml:space="preserve">Zone T1 — Temporal (Schläfenregion)</w:t>
      </w:r>
    </w:p>
    <w:p>
      <w:pPr>
        <w:spacing w:after="120"/>
        <w:jc w:val="left"/>
      </w:pPr>
      <w:r>
        <w:rPr>
          <w:b/>
          <w:bCs/>
        </w:rPr>
        <w:t xml:space="preserve">Region: Upper Face | Primäre Ansicht: Oblique | Sekundäre Ansichten: — | Fusion: Nein</w:t>
      </w:r>
    </w:p>
    <w:p>
      <w:pPr>
        <w:spacing w:after="120"/>
        <w:jc w:val="left"/>
      </w:pPr>
      <w:r>
        <w:t xml:space="preserve">Die Temporalregion umfasst die Fossa temporalis — die laterale Einbuchtung oberhalb des Jochbogens. Eine Eintiefung (Temporal Hollowing) ist ein früher und oft übersehener Indikator für altersbedingte Volumenatrophie. Der M. temporalis und das darüber liegende Fettgewebe verlieren im Laufe der Jahre an Volumen, was zu einem skelettierten Erscheinungsbild des oberen Gesichtsdrittels führt.</w:t>
      </w:r>
    </w:p>
    <w:p>
      <w:pPr>
        <w:spacing w:after="120"/>
        <w:jc w:val="left"/>
      </w:pPr>
      <w:r>
        <w:t xml:space="preserve">Referenzwerte: temporal_depth_mm: -2,0 bis 2,0 mm (Tiefe relativ zur Brauenlinie)</w:t>
      </w:r>
    </w:p>
    <w:p>
      <w:pPr>
        <w:spacing w:after="120"/>
        <w:jc w:val="left"/>
      </w:pPr>
      <w:r>
        <w:t xml:space="preserve">Severity-Gewichte: Volumendefizit 0,6 | Asymmetrie 0,2 | Alterung 0,2</w:t>
      </w:r>
    </w:p>
    <w:p>
      <w:pPr>
        <w:spacing w:after="120"/>
        <w:jc w:val="left"/>
      </w:pPr>
      <w:r>
        <w:t xml:space="preserve">Klinische Relevanz: Eine Eintiefung &gt; 2 mm deutet auf signifikanten Volumenverlust hin. Die Behandlung erfolgt bevorzugt mit Biostimulantien (Sculptra, Radiesse) in der tiefen subkutanen Ebene. Zu beachten ist die A. temporalis superficialis, die in dieser Region verläuft.</w:t>
      </w:r>
    </w:p>
    <w:p>
      <w:pPr>
        <w:pStyle w:val="Heading3"/>
        <w:spacing w:after="120" w:before="240"/>
      </w:pPr>
      <w:r>
        <w:rPr>
          <w:b/>
          <w:bCs/>
        </w:rPr>
        <w:t xml:space="preserve">Zone Bw1 — Brow Lateral (Laterale Braue)</w:t>
      </w:r>
    </w:p>
    <w:p>
      <w:pPr>
        <w:spacing w:after="120"/>
        <w:jc w:val="left"/>
      </w:pPr>
      <w:r>
        <w:rPr>
          <w:b/>
          <w:bCs/>
        </w:rPr>
        <w:t xml:space="preserve">Region: Upper Face | Primäre Ansicht: Frontal | Sekundäre: Oblique | Fusion: Ja</w:t>
      </w:r>
    </w:p>
    <w:p>
      <w:pPr>
        <w:spacing w:after="120"/>
        <w:jc w:val="left"/>
      </w:pPr>
      <w:r>
        <w:t xml:space="preserve">Die laterale Brauenposition ist einer der wichtigsten ästhetischen Parameter des oberen Gesichtsdrittels. Eine Ptosis der lateralen Braue führt zu einem müden, gealterten Erscheinungsbild und kann die laterale Sicht einschränken. Die ideale Brauenposition liegt bei Frauen oberhalb des Orbitarands, bei Männern auf Höhe des Orbitarands.</w:t>
      </w:r>
    </w:p>
    <w:p>
      <w:pPr>
        <w:spacing w:after="120"/>
        <w:jc w:val="left"/>
      </w:pPr>
      <w:r>
        <w:t xml:space="preserve">Referenzwerte: brow_height_mm: 20–25 mm (über Orbitalrand) | brow_asymmetry_mm: 0–1,5 mm</w:t>
      </w:r>
    </w:p>
    <w:p>
      <w:pPr>
        <w:spacing w:after="120"/>
        <w:jc w:val="left"/>
      </w:pPr>
      <w:r>
        <w:t xml:space="preserve">Severity-Gewichte: Messabweichung 0,4 | Asymmetrie 0,4 | Alterung 0,2</w:t>
      </w:r>
    </w:p>
    <w:p>
      <w:pPr>
        <w:spacing w:after="120"/>
        <w:jc w:val="left"/>
      </w:pPr>
      <w:r>
        <w:t xml:space="preserve">Klinische Relevanz: Asymmetrien &gt; 1,5 mm sind klinisch sichtbar. Eine Brauenanhäbung kann durch tiefe supraperiostale Filler-Injektion oder durch gezielten Neurotoxin-Einsatz im lateralen Orbicularis oculi erreicht werden.</w:t>
      </w:r>
    </w:p>
    <w:p>
      <w:pPr>
        <w:pStyle w:val="Heading3"/>
        <w:spacing w:after="120" w:before="240"/>
      </w:pPr>
      <w:r>
        <w:rPr>
          <w:b/>
          <w:bCs/>
        </w:rPr>
        <w:t xml:space="preserve">Zone Bw2 — Glabella (Glabellarkomplex)</w:t>
      </w:r>
    </w:p>
    <w:p>
      <w:pPr>
        <w:spacing w:after="120"/>
        <w:jc w:val="left"/>
      </w:pPr>
      <w:r>
        <w:rPr>
          <w:b/>
          <w:bCs/>
        </w:rPr>
        <w:t xml:space="preserve">Region: Upper Face | Primäre Ansicht: Frontal | Sekundäre: — | Fusion: Nein</w:t>
      </w:r>
    </w:p>
    <w:p>
      <w:pPr>
        <w:spacing w:after="120"/>
        <w:jc w:val="left"/>
      </w:pPr>
      <w:r>
        <w:t xml:space="preserve">Die Glabellaregion umfasst den M. corrugator supercilii und den M. procerus. Hyperaktivität dieser Muskeln führt zu den charakteristischen vertikalen „11-Linien“ und horizontalen Glabellafalten. Diese Zone ist die am häufigsten mit Botulinumtoxin behandelte Region weltweit.</w:t>
      </w:r>
    </w:p>
    <w:p>
      <w:pPr>
        <w:spacing w:after="120"/>
        <w:jc w:val="left"/>
      </w:pPr>
      <w:r>
        <w:t xml:space="preserve">Referenzwerte: glabellar_depth_mm: 0–1,0 mm (Faltentiefe in Ruhe)</w:t>
      </w:r>
    </w:p>
    <w:p>
      <w:pPr>
        <w:spacing w:after="120"/>
        <w:jc w:val="left"/>
      </w:pPr>
      <w:r>
        <w:t xml:space="preserve">Severity-Gewichte: Messabweichung 0,3 | Alterung 0,4 | Muskelaktivität 0,3</w:t>
      </w:r>
    </w:p>
    <w:p>
      <w:pPr>
        <w:spacing w:after="120"/>
        <w:jc w:val="left"/>
      </w:pPr>
      <w:r>
        <w:t xml:space="preserve">Klinische Relevanz: Der Severity-Score wird hier stark durch Muskelaktivität (via Blendshape-Analyse) beeinflusst. Eine hohe Corrugator-Aktivität in Ruhe (Blendshape browDownLeft/Right &gt; 0,2) deutet auf erhöhten Behandlungsbedarf hin.</w:t>
      </w:r>
    </w:p>
    <w:p>
      <w:pPr>
        <w:pStyle w:val="Heading3"/>
        <w:spacing w:after="120" w:before="240"/>
      </w:pPr>
      <w:r>
        <w:rPr>
          <w:b/>
          <w:bCs/>
        </w:rPr>
        <w:t xml:space="preserve">Zone Fo1 — Forehead (Stirn)</w:t>
      </w:r>
    </w:p>
    <w:p>
      <w:pPr>
        <w:spacing w:after="120"/>
        <w:jc w:val="left"/>
      </w:pPr>
      <w:r>
        <w:rPr>
          <w:b/>
          <w:bCs/>
        </w:rPr>
        <w:t xml:space="preserve">Region: Upper Face | Primäre Ansicht: Frontal | Sekundäre: Profil | Fusion: Nein</w:t>
      </w:r>
    </w:p>
    <w:p>
      <w:pPr>
        <w:spacing w:after="120"/>
        <w:jc w:val="left"/>
      </w:pPr>
      <w:r>
        <w:t xml:space="preserve">Die Stirnzone wird vom M. frontalis dominiert, dessen Kontraktion horizontale Stirnfalten erzeugt. Der Frontalis ist häufig kompensatorisch hyperaktiv, wenn eine Brauenptosis vorliegt — der Patient hebt unbewusst die Brauen, um das Sichtfeld freizuhalten.</w:t>
      </w:r>
    </w:p>
    <w:p>
      <w:pPr>
        <w:spacing w:after="120"/>
        <w:jc w:val="left"/>
      </w:pPr>
      <w:r>
        <w:t xml:space="preserve">Severity-Gewichte: Alterung 0,5 | Muskelaktivität 0,3 | Messabweichung 0,2</w:t>
      </w:r>
    </w:p>
    <w:p>
      <w:pPr>
        <w:spacing w:after="120"/>
        <w:jc w:val="left"/>
      </w:pPr>
      <w:r>
        <w:t xml:space="preserve">Klinische Relevanz: WICHTIG — Die Stirn darf niemals isoliert mit Neurotoxin behandelt werden, ohne gleichzeitig die Glabella mitzubehandeln. Ohne Corrugator-Relaxation führt eine Frontalis-Schwächung zur Brauenptosis. Bei Patienten mit bereits tiefer Brauenposition sind niedrigere Dosen indiziert.</w:t>
      </w:r>
    </w:p>
    <w:p>
      <w:pPr>
        <w:pStyle w:val="Heading2"/>
        <w:spacing w:after="180" w:before="360"/>
      </w:pPr>
      <w:r>
        <w:rPr>
          <w:b/>
          <w:bCs/>
        </w:rPr>
        <w:t xml:space="preserve">9.3 Midface</w:t>
      </w:r>
    </w:p>
    <w:p>
      <w:pPr>
        <w:pStyle w:val="Heading3"/>
        <w:spacing w:after="120" w:before="240"/>
      </w:pPr>
      <w:r>
        <w:rPr>
          <w:b/>
          <w:bCs/>
        </w:rPr>
        <w:t xml:space="preserve">Zone Ck1 — Zygomatic Arch (Jochbogen)</w:t>
      </w:r>
    </w:p>
    <w:p>
      <w:pPr>
        <w:spacing w:after="120"/>
        <w:jc w:val="left"/>
      </w:pPr>
      <w:r>
        <w:rPr>
          <w:b/>
          <w:bCs/>
        </w:rPr>
        <w:t xml:space="preserve">Region: Midface | Primäre Ansicht: Oblique | Sekundäre: Frontal | Fusion: Ja</w:t>
      </w:r>
    </w:p>
    <w:p>
      <w:pPr>
        <w:spacing w:after="120"/>
        <w:jc w:val="left"/>
      </w:pPr>
      <w:r>
        <w:t xml:space="preserve">Der Jochbogen bildet das knöcherne Gerüst des Mittelgesichts. Die bizygomatische Breite (Abstand zwischen den beiden Jochbogenspitzen) ist ein Schlüsselparameter für die Gesichtsproportionen. Diese Zone repräsentiert die skelettale Basis, auf der alle Weichgewebebehandlungen des Mittelgesichts aufbauen.</w:t>
      </w:r>
    </w:p>
    <w:p>
      <w:pPr>
        <w:spacing w:after="120"/>
        <w:jc w:val="left"/>
      </w:pPr>
      <w:r>
        <w:t xml:space="preserve">Referenzwerte: bizygomatic_width_mm: 125–145 mm</w:t>
      </w:r>
    </w:p>
    <w:p>
      <w:pPr>
        <w:spacing w:after="120"/>
        <w:jc w:val="left"/>
      </w:pPr>
      <w:r>
        <w:t xml:space="preserve">Severity-Gewichte: Messabweichung 0,5 | Asymmetrie 0,3 | Volumendefizit 0,2</w:t>
      </w:r>
    </w:p>
    <w:p>
      <w:pPr>
        <w:spacing w:after="120"/>
        <w:jc w:val="left"/>
      </w:pPr>
      <w:r>
        <w:t xml:space="preserve">Klinische Relevanz: Eine Augmentation des Jochbogens schafft die strukturelle Grundlage für weitere Midface-Behandlungen. Behandlung mit hochvernetzten HA-Fillern (G’ &gt; 200 Pa) oder CaHA in supraperiostaler Bolustechnik.</w:t>
      </w:r>
    </w:p>
    <w:p>
      <w:pPr>
        <w:pStyle w:val="Heading3"/>
        <w:spacing w:after="120" w:before="240"/>
      </w:pPr>
      <w:r>
        <w:rPr>
          <w:b/>
          <w:bCs/>
        </w:rPr>
        <w:t xml:space="preserve">Zone Ck2 — Zygomatic Eminence (Wangenhöhe)</w:t>
      </w:r>
    </w:p>
    <w:p>
      <w:pPr>
        <w:spacing w:after="120"/>
        <w:jc w:val="left"/>
      </w:pPr>
      <w:r>
        <w:rPr>
          <w:b/>
          <w:bCs/>
        </w:rPr>
        <w:t xml:space="preserve">Region: Midface | Primäre Ansicht: Oblique | Sekundäre: Frontal | Fusion: Ja</w:t>
      </w:r>
    </w:p>
    <w:p>
      <w:pPr>
        <w:spacing w:after="120"/>
        <w:jc w:val="left"/>
      </w:pPr>
      <w:r>
        <w:t xml:space="preserve">Die Wangenhöhe (Eminentia zygomatica) ist der Schlüsselpunkt für die Ogee-Kurve — jene S-förmige Konturlinie, die von der lateralen Stirn über die Wangenhöhe in die Wangenvertiefung verläuft. Eine Abflachung der Ogee-Kurve ist eines der frühesten und auffälligsten Zeichen der Mittelgesichtsalterung.</w:t>
      </w:r>
    </w:p>
    <w:p>
      <w:pPr>
        <w:spacing w:after="120"/>
        <w:jc w:val="left"/>
      </w:pPr>
      <w:r>
        <w:t xml:space="preserve">Referenzwerte: ogee_curve_score: 70–100 (Fließende S-Kurve) | malar_prominence_ratio: 0,75–1,0</w:t>
      </w:r>
    </w:p>
    <w:p>
      <w:pPr>
        <w:spacing w:after="120"/>
        <w:jc w:val="left"/>
      </w:pPr>
      <w:r>
        <w:t xml:space="preserve">Severity-Gewichte: Volumendefizit 0,5 | Messabweichung 0,3 | Asymmetrie 0,2</w:t>
      </w:r>
    </w:p>
    <w:p>
      <w:pPr>
        <w:spacing w:after="120"/>
        <w:jc w:val="left"/>
      </w:pPr>
      <w:r>
        <w:t xml:space="preserve">Klinische Relevanz: Diese Zone hat den höchsten Einfluss auf das ästhetische Gesamtergebnis im Mittelgesicht. Die Wiederherstellung des Malar-Volumens verbessert nicht nur den Ogee-Score, sondern reduziert sekundaer auch die Nasolabialfalte und das Tränental.</w:t>
      </w:r>
    </w:p>
    <w:p>
      <w:pPr>
        <w:pStyle w:val="Heading3"/>
        <w:spacing w:after="120" w:before="240"/>
      </w:pPr>
      <w:r>
        <w:rPr>
          <w:b/>
          <w:bCs/>
        </w:rPr>
        <w:t xml:space="preserve">Zone Ck3 — Anteromedial Cheek (Mittelwange)</w:t>
      </w:r>
    </w:p>
    <w:p>
      <w:pPr>
        <w:spacing w:after="120"/>
        <w:jc w:val="left"/>
      </w:pPr>
      <w:r>
        <w:rPr>
          <w:b/>
          <w:bCs/>
        </w:rPr>
        <w:t xml:space="preserve">Region: Midface | Primäre Ansicht: Oblique | Sekundäre: Frontal | Fusion: Ja</w:t>
      </w:r>
    </w:p>
    <w:p>
      <w:pPr>
        <w:spacing w:after="120"/>
        <w:jc w:val="left"/>
      </w:pPr>
      <w:r>
        <w:t xml:space="preserve">Die anteromediale Wange umfasst das Weichgewebe zwischen Jochbogen und Nasolabialfalte. Volumenverlust in dieser Zone vertieft die Nasolabialfalte und führt zu einer Abflachung des Mittelgesichtsprofils. Das SOOF (Suborbicularis Oculi Fat) und das malare Fettpolster sind die relevanten anatomischen Strukturen.</w:t>
      </w:r>
    </w:p>
    <w:p>
      <w:pPr>
        <w:spacing w:after="120"/>
        <w:jc w:val="left"/>
      </w:pPr>
      <w:r>
        <w:t xml:space="preserve">Severity-Gewichte: Volumendefizit 0,5 | Alterung 0,3 | Asymmetrie 0,2</w:t>
      </w:r>
    </w:p>
    <w:p>
      <w:pPr>
        <w:spacing w:after="120"/>
        <w:jc w:val="left"/>
      </w:pPr>
      <w:r>
        <w:t xml:space="preserve">Klinische Relevanz: Behandlung mit mittelvernetzten HA-Fillern oder Skin-Boostern (Profhilo) für Hautqualitätsverbesserung. Häufig ist eine Volumenauffüllung in Ck2 ausreichend, um sekundaer auch Ck3 zu verbessern.</w:t>
      </w:r>
    </w:p>
    <w:p>
      <w:pPr>
        <w:pStyle w:val="Heading3"/>
        <w:spacing w:after="120" w:before="240"/>
      </w:pPr>
      <w:r>
        <w:rPr>
          <w:b/>
          <w:bCs/>
        </w:rPr>
        <w:t xml:space="preserve">Zone Tt1 — Tear Trough (Tränental)</w:t>
      </w:r>
    </w:p>
    <w:p>
      <w:pPr>
        <w:spacing w:after="120"/>
        <w:jc w:val="left"/>
      </w:pPr>
      <w:r>
        <w:rPr>
          <w:b/>
          <w:bCs/>
        </w:rPr>
        <w:t xml:space="preserve">Region: Midface | Primäre Ansicht: Frontal | Sekundäre: Oblique | Fusion: Ja</w:t>
      </w:r>
    </w:p>
    <w:p>
      <w:pPr>
        <w:spacing w:after="120"/>
        <w:jc w:val="left"/>
      </w:pPr>
      <w:r>
        <w:t xml:space="preserve">Das Tränental (Sulcus palpebromalaris) ist die Vertiefung zwischen Unterlid und Wange. Diese Zone ist anatomisch komplex und gehört zu den anspruchsvollsten Behandlungsarealen in der ästhetischen Medizin. Die dünne Haut, die Nähe zur A. angularis und das Risiko eines Tyndall-Effekts erfordern höchste Präzision.</w:t>
      </w:r>
    </w:p>
    <w:p>
      <w:pPr>
        <w:spacing w:after="120"/>
        <w:jc w:val="left"/>
      </w:pPr>
      <w:r>
        <w:t xml:space="preserve">Referenzwerte: tear_trough_depth_mm: 0–2,0 mm</w:t>
      </w:r>
    </w:p>
    <w:p>
      <w:pPr>
        <w:spacing w:after="120"/>
        <w:jc w:val="left"/>
      </w:pPr>
      <w:r>
        <w:t xml:space="preserve">Severity-Gewichte: Volumendefizit 0,5 | Asymmetrie 0,3 | Alterung 0,2</w:t>
      </w:r>
    </w:p>
    <w:p>
      <w:pPr>
        <w:spacing w:after="120"/>
        <w:jc w:val="left"/>
      </w:pPr>
      <w:r>
        <w:t xml:space="preserve">Klinische Relevanz: HOCHRISIKO-ZONE. Vor einer direkten Behandlung sollte stets geprüft werden, ob eine Volumenauffüllung im Mittelgesicht (Ck2/Ck3) die Tränentaltiefe bereits ausreichend reduziert. Bei direkter Behandlung: stumpfe Kanüle bevorzugt, maximal 0,1–0,2 ml pro Seite pro Sitzung, Kontrolle nach 2 Wochen.</w:t>
      </w:r>
    </w:p>
    <w:p>
      <w:pPr>
        <w:pStyle w:val="Heading3"/>
        <w:spacing w:after="120" w:before="240"/>
      </w:pPr>
      <w:r>
        <w:rPr>
          <w:b/>
          <w:bCs/>
        </w:rPr>
        <w:t xml:space="preserve">Zone Ns1 — Nasolabial Fold (Nasolabialfalte)</w:t>
      </w:r>
    </w:p>
    <w:p>
      <w:pPr>
        <w:spacing w:after="120"/>
        <w:jc w:val="left"/>
      </w:pPr>
      <w:r>
        <w:rPr>
          <w:b/>
          <w:bCs/>
        </w:rPr>
        <w:t xml:space="preserve">Region: Midface | Primäre Ansicht: Frontal | Sekundäre: Oblique | Fusion: Ja</w:t>
      </w:r>
    </w:p>
    <w:p>
      <w:pPr>
        <w:spacing w:after="120"/>
        <w:jc w:val="left"/>
      </w:pPr>
      <w:r>
        <w:t xml:space="preserve">Die Nasolabialfalte ist eine der am häufigsten behandelten Strukturen in der ästhetischen Medizin. Ihre Tiefe korreliert direkt mit dem Volumenverlust im Mittelgesicht — sie ist ein Symptom, nicht die primäre Pathologie. Ein häufiger Behandlungsfehler ist die isolierte Füllung der Falte ohne Adressierung des ursächlichen Mittelgesichtsvolumendefizits.</w:t>
      </w:r>
    </w:p>
    <w:p>
      <w:pPr>
        <w:spacing w:after="120"/>
        <w:jc w:val="left"/>
      </w:pPr>
      <w:r>
        <w:t xml:space="preserve">Referenzwerte: nasolabial_depth_mm: 0–3,0 mm | nasolabial_asymmetry_mm: 0–1,5 mm</w:t>
      </w:r>
    </w:p>
    <w:p>
      <w:pPr>
        <w:spacing w:after="120"/>
        <w:jc w:val="left"/>
      </w:pPr>
      <w:r>
        <w:t xml:space="preserve">Severity-Gewichte: Volumendefizit 0,4 | Messabweichung 0,3 | Asymmetrie 0,3</w:t>
      </w:r>
    </w:p>
    <w:p>
      <w:pPr>
        <w:spacing w:after="120"/>
        <w:jc w:val="left"/>
      </w:pPr>
      <w:r>
        <w:t xml:space="preserve">Klinische Relevanz: Die klinische Reihenfolge ist entscheidend: Zuerst Midface-Volumen (Ck2) wiederherstellen, dann die Resttiefe der Nasolabialfalte beurteilen. In vielen Fällen reduziert sich die Faltentiefe allein durch die Mittelgesichtsbehandlung um 30–50 %.</w:t>
      </w:r>
    </w:p>
    <w:p>
      <w:pPr>
        <w:pStyle w:val="Heading2"/>
        <w:spacing w:after="180" w:before="360"/>
      </w:pPr>
      <w:r>
        <w:rPr>
          <w:b/>
          <w:bCs/>
        </w:rPr>
        <w:t xml:space="preserve">9.4 Lower Face</w:t>
      </w:r>
    </w:p>
    <w:p>
      <w:pPr>
        <w:pStyle w:val="Heading3"/>
        <w:spacing w:after="120" w:before="240"/>
      </w:pPr>
      <w:r>
        <w:rPr>
          <w:b/>
          <w:bCs/>
        </w:rPr>
        <w:t xml:space="preserve">Zone Lp1 — Upper Lip (Oberlippe)</w:t>
      </w:r>
    </w:p>
    <w:p>
      <w:pPr>
        <w:spacing w:after="120"/>
        <w:jc w:val="left"/>
      </w:pPr>
      <w:r>
        <w:rPr>
          <w:b/>
          <w:bCs/>
        </w:rPr>
        <w:t xml:space="preserve">Region: Lower Face | Primäre Ansicht: Frontal | Sekundäre: Profil | Fusion: Ja</w:t>
      </w:r>
    </w:p>
    <w:p>
      <w:pPr>
        <w:spacing w:after="120"/>
        <w:jc w:val="left"/>
      </w:pPr>
      <w:r>
        <w:t xml:space="preserve">Die Oberlippe umfasst das Vermilion (Lippenrot), den Vermilionrand (Lippensaum) und den Cupid’s Bow. Die Lippenanalyse berücksichtigt Volumen, Definition und Symmetrie. Das ideale Verhältnis von Ober- zu Unterlippe beträgt etwa 1:1,6 (Golden Lip Ratio).</w:t>
      </w:r>
    </w:p>
    <w:p>
      <w:pPr>
        <w:spacing w:after="120"/>
        <w:jc w:val="left"/>
      </w:pPr>
      <w:r>
        <w:t xml:space="preserve">Referenzwerte: upper_lip_height_mm: 6–9 mm | lip_ratio: 0,5–0,7 | cupid_bow_asymmetry_pct: 0–5 %</w:t>
      </w:r>
    </w:p>
    <w:p>
      <w:pPr>
        <w:spacing w:after="120"/>
        <w:jc w:val="left"/>
      </w:pPr>
      <w:r>
        <w:t xml:space="preserve">Severity-Gewichte: Messabweichung 0,5 | Asymmetrie 0,3 | Volumendefizit 0,2</w:t>
      </w:r>
    </w:p>
    <w:p>
      <w:pPr>
        <w:spacing w:after="120"/>
        <w:jc w:val="left"/>
      </w:pPr>
      <w:r>
        <w:t xml:space="preserve">Klinische Relevanz: Behandlung mit weichen HA-Fillern (G’ &lt; 130 Pa). Technik: Serielle Punktion entlang des Vermilionrands für Definition, Mikrotröpfchen im Lippenkörper für Volumen. Zu beachten: A. labialis superior.</w:t>
      </w:r>
    </w:p>
    <w:p>
      <w:pPr>
        <w:pStyle w:val="Heading3"/>
        <w:spacing w:after="120" w:before="240"/>
      </w:pPr>
      <w:r>
        <w:rPr>
          <w:b/>
          <w:bCs/>
        </w:rPr>
        <w:t xml:space="preserve">Zone Lp2 — Lower Lip (Unterlippe)</w:t>
      </w:r>
    </w:p>
    <w:p>
      <w:pPr>
        <w:spacing w:after="120"/>
        <w:jc w:val="left"/>
      </w:pPr>
      <w:r>
        <w:rPr>
          <w:b/>
          <w:bCs/>
        </w:rPr>
        <w:t xml:space="preserve">Region: Lower Face | Primäre Ansicht: Frontal | Sekundäre: Profil | Fusion: Ja</w:t>
      </w:r>
    </w:p>
    <w:p>
      <w:pPr>
        <w:spacing w:after="120"/>
        <w:jc w:val="left"/>
      </w:pPr>
      <w:r>
        <w:t xml:space="preserve">Die Unterlippe ist typischerweise voller als die Oberlippe und benötigt seltener eine Augmentation. Bei einer Behandlung ist darauf zu achten, dass das Verhältnis zur Oberlippe (Lip Ratio) erhalten oder auf den Idealwert hin korrigiert wird.</w:t>
      </w:r>
    </w:p>
    <w:p>
      <w:pPr>
        <w:spacing w:after="120"/>
        <w:jc w:val="left"/>
      </w:pPr>
      <w:r>
        <w:t xml:space="preserve">Referenzwerte: lower_lip_height_mm: 9–14 mm</w:t>
      </w:r>
    </w:p>
    <w:p>
      <w:pPr>
        <w:spacing w:after="120"/>
        <w:jc w:val="left"/>
      </w:pPr>
      <w:r>
        <w:t xml:space="preserve">Severity-Gewichte: Messabweichung 0,5 | Asymmetrie 0,2 | Volumendefizit 0,3</w:t>
      </w:r>
    </w:p>
    <w:p>
      <w:pPr>
        <w:pStyle w:val="Heading3"/>
        <w:spacing w:after="120" w:before="240"/>
      </w:pPr>
      <w:r>
        <w:rPr>
          <w:b/>
          <w:bCs/>
        </w:rPr>
        <w:t xml:space="preserve">Zone Lp3 — Lip Corners (Mundwinkel)</w:t>
      </w:r>
    </w:p>
    <w:p>
      <w:pPr>
        <w:spacing w:after="120"/>
        <w:jc w:val="left"/>
      </w:pPr>
      <w:r>
        <w:rPr>
          <w:b/>
          <w:bCs/>
        </w:rPr>
        <w:t xml:space="preserve">Region: Lower Face | Primäre Ansicht: Frontal | Sekundäre: — | Fusion: Nein</w:t>
      </w:r>
    </w:p>
    <w:p>
      <w:pPr>
        <w:spacing w:after="120"/>
        <w:jc w:val="left"/>
      </w:pPr>
      <w:r>
        <w:t xml:space="preserve">Abwärtshängende Mundwinkel (Downturn) sind ein häufiges Zeichen der Alterung und vermitteln einen traurigen oder unzufriedenen Gesichtsausdruck. Die Kommissuren können mit minimalen Filler-Mengen oder einem Neurotoxin-Einsatz im M. depressor anguli oris korrigiert werden.</w:t>
      </w:r>
    </w:p>
    <w:p>
      <w:pPr>
        <w:spacing w:after="120"/>
        <w:jc w:val="left"/>
      </w:pPr>
      <w:r>
        <w:t xml:space="preserve">Referenzwerte: mouth_corner_angle_deg: -2 bis 5 Grad (negativ = Downturn)</w:t>
      </w:r>
    </w:p>
    <w:p>
      <w:pPr>
        <w:spacing w:after="120"/>
        <w:jc w:val="left"/>
      </w:pPr>
      <w:r>
        <w:t xml:space="preserve">Severity-Gewichte: Messabweichung 0,4 | Asymmetrie 0,3 | Alterung 0,3</w:t>
      </w:r>
    </w:p>
    <w:p>
      <w:pPr>
        <w:pStyle w:val="Heading3"/>
        <w:spacing w:after="120" w:before="240"/>
      </w:pPr>
      <w:r>
        <w:rPr>
          <w:b/>
          <w:bCs/>
        </w:rPr>
        <w:t xml:space="preserve">Zone Mn1 — Marionette Lines (Marionettenfalten)</w:t>
      </w:r>
    </w:p>
    <w:p>
      <w:pPr>
        <w:spacing w:after="120"/>
        <w:jc w:val="left"/>
      </w:pPr>
      <w:r>
        <w:rPr>
          <w:b/>
          <w:bCs/>
        </w:rPr>
        <w:t xml:space="preserve">Region: Lower Face | Primäre Ansicht: Frontal | Sekundäre: Oblique | Fusion: Ja</w:t>
      </w:r>
    </w:p>
    <w:p>
      <w:pPr>
        <w:spacing w:after="120"/>
        <w:jc w:val="left"/>
      </w:pPr>
      <w:r>
        <w:t xml:space="preserve">Marionettenfalten verlaufen von den Mundwinkeln abwärts zum Kinn. Ihre Tiefe korreliert mit Jowling (Hängewangen) und Volumenverlust im unteren Gesichtsdrittel. Ähnlich wie bei der Nasolabialfalte ist die isolierte Füllung der Falte ohne Behandlung der Ursache (Kieferkontur, Pre-Jowl) klinisch suboptimal.</w:t>
      </w:r>
    </w:p>
    <w:p>
      <w:pPr>
        <w:spacing w:after="120"/>
        <w:jc w:val="left"/>
      </w:pPr>
      <w:r>
        <w:t xml:space="preserve">Severity-Gewichte: Volumendefizit 0,4 | Alterung 0,4 | Asymmetrie 0,2</w:t>
      </w:r>
    </w:p>
    <w:p>
      <w:pPr>
        <w:pStyle w:val="Heading3"/>
        <w:spacing w:after="120" w:before="240"/>
      </w:pPr>
      <w:r>
        <w:rPr>
          <w:b/>
          <w:bCs/>
        </w:rPr>
        <w:t xml:space="preserve">Zone Jw1 — Pre-Jowl Sulcus</w:t>
      </w:r>
    </w:p>
    <w:p>
      <w:pPr>
        <w:spacing w:after="120"/>
        <w:jc w:val="left"/>
      </w:pPr>
      <w:r>
        <w:rPr>
          <w:b/>
          <w:bCs/>
        </w:rPr>
        <w:t xml:space="preserve">Region: Lower Face | Primäre Ansicht: Frontal | Sekundäre: Oblique | Fusion: Ja</w:t>
      </w:r>
    </w:p>
    <w:p>
      <w:pPr>
        <w:spacing w:after="120"/>
        <w:jc w:val="left"/>
      </w:pPr>
      <w:r>
        <w:t xml:space="preserve">Der Pre-Jowl-Sulcus ist die Einbuchtung lateral des Kinns, die durch Volumenatrophie und Gewebeabsenkung (Jowling) entsteht. Eine Auffüllung mit strukturellen Fillern in supraperiostaler Technik stellt die Kieferkontur wieder her.</w:t>
      </w:r>
    </w:p>
    <w:p>
      <w:pPr>
        <w:spacing w:after="120"/>
        <w:jc w:val="left"/>
      </w:pPr>
      <w:r>
        <w:t xml:space="preserve">Severity-Gewichte: Volumendefizit 0,5 | Alterung 0,3 | Asymmetrie 0,2</w:t>
      </w:r>
    </w:p>
    <w:p>
      <w:pPr>
        <w:pStyle w:val="Heading3"/>
        <w:spacing w:after="120" w:before="240"/>
      </w:pPr>
      <w:r>
        <w:rPr>
          <w:b/>
          <w:bCs/>
        </w:rPr>
        <w:t xml:space="preserve">Zone Ch1 — Chin (Kinn)</w:t>
      </w:r>
    </w:p>
    <w:p>
      <w:pPr>
        <w:spacing w:after="120"/>
        <w:jc w:val="left"/>
      </w:pPr>
      <w:r>
        <w:rPr>
          <w:b/>
          <w:bCs/>
        </w:rPr>
        <w:t xml:space="preserve">Region: Lower Face | Primäre Ansicht: Profil | Sekundäre: Frontal | Fusion: Ja</w:t>
      </w:r>
    </w:p>
    <w:p>
      <w:pPr>
        <w:spacing w:after="120"/>
        <w:jc w:val="left"/>
      </w:pPr>
      <w:r>
        <w:t xml:space="preserve">Die Kinnprojektion wird am Pogonion gemessen — dem am weitesten anterior gelegenen Punkt des Kinns. Die Position wird relativ zur Ricketts-E-Linie und zur Subnasale-Vertikalen beurteilt. Ein retrudiertes Kinn (Retrognathie) verstärkt die Jowl-Bildung und verschlechtert den Kinn-Hals-Winkel.</w:t>
      </w:r>
    </w:p>
    <w:p>
      <w:pPr>
        <w:spacing w:after="120"/>
        <w:jc w:val="left"/>
      </w:pPr>
      <w:r>
        <w:t xml:space="preserve">Referenzwerte: chin_projection_mm: -4,0 bis 0,0 mm (hinter E-Linie)</w:t>
      </w:r>
    </w:p>
    <w:p>
      <w:pPr>
        <w:spacing w:after="120"/>
        <w:jc w:val="left"/>
      </w:pPr>
      <w:r>
        <w:t xml:space="preserve">Severity-Gewichte: Messabweichung 0,6 | Asymmetrie 0,2 | Volumendefizit 0,2</w:t>
      </w:r>
    </w:p>
    <w:p>
      <w:pPr>
        <w:spacing w:after="120"/>
        <w:jc w:val="left"/>
      </w:pPr>
      <w:r>
        <w:t xml:space="preserve">Klinische Relevanz: Die Kinnaugmentation ist eine der effektivsten strukturellen Behandlungen. Supraperiostale Bolusinjektion mit hochvernetztem HA-Filler (Volux, G’ 350 Pa) oder CaHA. Der N. mentalis muss geschont werden.</w:t>
      </w:r>
    </w:p>
    <w:p>
      <w:pPr>
        <w:pStyle w:val="Heading3"/>
        <w:spacing w:after="120" w:before="240"/>
      </w:pPr>
      <w:r>
        <w:rPr>
          <w:b/>
          <w:bCs/>
        </w:rPr>
        <w:t xml:space="preserve">Zone Jl1 — Jawline (Kieferlinie)</w:t>
      </w:r>
    </w:p>
    <w:p>
      <w:pPr>
        <w:spacing w:after="120"/>
        <w:jc w:val="left"/>
      </w:pPr>
      <w:r>
        <w:rPr>
          <w:b/>
          <w:bCs/>
        </w:rPr>
        <w:t xml:space="preserve">Region: Lower Face | Primäre Ansicht: Profil | Sekundäre: Frontal, Oblique | Fusion: Ja</w:t>
      </w:r>
    </w:p>
    <w:p>
      <w:pPr>
        <w:spacing w:after="120"/>
        <w:jc w:val="left"/>
      </w:pPr>
      <w:r>
        <w:t xml:space="preserve">Die Kieferlinie definiert die untere Gesichtskontur. Der Gonialwinkel (Kieferwinkel) liegt idealerweise zwischen 110 und 130 Grad. Eine unscharfe Kieferlinie kann durch Filler-Augmentation entlang des Mandibularrands geschaerft werden.</w:t>
      </w:r>
    </w:p>
    <w:p>
      <w:pPr>
        <w:spacing w:after="120"/>
        <w:jc w:val="left"/>
      </w:pPr>
      <w:r>
        <w:t xml:space="preserve">Referenzwerte: gonial_angle_deg: 110–130 Grad</w:t>
      </w:r>
    </w:p>
    <w:p>
      <w:pPr>
        <w:spacing w:after="120"/>
        <w:jc w:val="left"/>
      </w:pPr>
      <w:r>
        <w:t xml:space="preserve">Severity-Gewichte: Messabweichung 0,4 | Asymmetrie 0,3 | Alterung 0,3</w:t>
      </w:r>
    </w:p>
    <w:p>
      <w:pPr>
        <w:spacing w:after="120"/>
        <w:jc w:val="left"/>
      </w:pPr>
      <w:r>
        <w:t xml:space="preserve">Klinische Relevanz: Linear-Threading-Technik entlang des Mandibularrands. Palpation der A. facialis an der Incisura mandibulae vor Injektion obligat.</w:t>
      </w:r>
    </w:p>
    <w:p>
      <w:pPr>
        <w:pStyle w:val="Heading2"/>
        <w:spacing w:after="180" w:before="360"/>
      </w:pPr>
      <w:r>
        <w:rPr>
          <w:b/>
          <w:bCs/>
        </w:rPr>
        <w:t xml:space="preserve">9.5 Profil-spezifische Zonen</w:t>
      </w:r>
    </w:p>
    <w:p>
      <w:pPr>
        <w:pStyle w:val="Heading3"/>
        <w:spacing w:after="120" w:before="240"/>
      </w:pPr>
      <w:r>
        <w:rPr>
          <w:b/>
          <w:bCs/>
        </w:rPr>
        <w:t xml:space="preserve">Zone Pf1 — Nasal Profile (Nasenprofil)</w:t>
      </w:r>
    </w:p>
    <w:p>
      <w:pPr>
        <w:spacing w:after="120"/>
        <w:jc w:val="left"/>
      </w:pPr>
      <w:r>
        <w:rPr>
          <w:b/>
          <w:bCs/>
        </w:rPr>
        <w:t xml:space="preserve">Region: Profil | Primäre Ansicht: Profil | Sekundäre: — | Fusion: Nein</w:t>
      </w:r>
    </w:p>
    <w:p>
      <w:pPr>
        <w:spacing w:after="120"/>
        <w:jc w:val="left"/>
      </w:pPr>
      <w:r>
        <w:t xml:space="preserve">Das Nasenprofil umfasst den Nasenrücken (Dorsum), die Nasenspitze und die Supratip-Region. Der Nasolabialwinkel (90–105°) und der Nasofrontalwinkel (115–135°) sind die zentralen Messparameter. Höcker (Hump) und Satteldeformitäten können mit Filler non-chirurgisch korrigiert werden.</w:t>
      </w:r>
    </w:p>
    <w:p>
      <w:pPr>
        <w:spacing w:after="120"/>
        <w:jc w:val="left"/>
      </w:pPr>
      <w:r>
        <w:t xml:space="preserve">Referenzwerte: nasolabial_angle_deg: 90–105° | nasofrontal_angle_deg: 115–135°</w:t>
      </w:r>
    </w:p>
    <w:p>
      <w:pPr>
        <w:spacing w:after="120"/>
        <w:jc w:val="left"/>
      </w:pPr>
      <w:r>
        <w:t xml:space="preserve">Severity-Gewichte: Messabweichung 0,7 | Asymmetrie 0,1 | Volumendefizit 0,2</w:t>
      </w:r>
    </w:p>
    <w:p>
      <w:pPr>
        <w:spacing w:after="120"/>
        <w:jc w:val="left"/>
      </w:pPr>
      <w:r>
        <w:t xml:space="preserve">Klinische Relevanz: HOCHRISIKO-ZONE. Die A. dorsalis nasi und die A. angularis verlaufen in unmittelbarer Nähe. Gefäßverschlüsse können zu Hautnekrose und im schlimmsten Fall zu Erblindung führen. Stumpfe Kanüle und langsame Injektion sind obligat.</w:t>
      </w:r>
    </w:p>
    <w:p>
      <w:pPr>
        <w:pStyle w:val="Heading3"/>
        <w:spacing w:after="120" w:before="240"/>
      </w:pPr>
      <w:r>
        <w:rPr>
          <w:b/>
          <w:bCs/>
        </w:rPr>
        <w:t xml:space="preserve">Zone Pf2 — Lip Projection (Lippenprofil)</w:t>
      </w:r>
    </w:p>
    <w:p>
      <w:pPr>
        <w:spacing w:after="120"/>
        <w:jc w:val="left"/>
      </w:pPr>
      <w:r>
        <w:rPr>
          <w:b/>
          <w:bCs/>
        </w:rPr>
        <w:t xml:space="preserve">Region: Profil | Primäre Ansicht: Profil | Sekundäre: — | Fusion: Nein</w:t>
      </w:r>
    </w:p>
    <w:p>
      <w:pPr>
        <w:spacing w:after="120"/>
        <w:jc w:val="left"/>
      </w:pPr>
      <w:r>
        <w:t xml:space="preserve">Die Lippenprojektion wird im Profil relativ zur Ricketts-E-Linie und zur Steiner-Linie beurteilt. Idealerweise liegt die Oberlippe 1–4 mm und die Unterlippe 0–2 mm hinter der E-Linie. Eine zu geringe Lippenprojektion kann durch Filler-Augmentation des Vermilion verbessert werden.</w:t>
      </w:r>
    </w:p>
    <w:p>
      <w:pPr>
        <w:spacing w:after="120"/>
        <w:jc w:val="left"/>
      </w:pPr>
      <w:r>
        <w:t xml:space="preserve">Referenzwerte: upper_lip_to_eline_mm: -4 bis -1 mm | lower_lip_to_eline_mm: -2 bis 0 mm</w:t>
      </w:r>
    </w:p>
    <w:p>
      <w:pPr>
        <w:spacing w:after="120"/>
        <w:jc w:val="left"/>
      </w:pPr>
      <w:r>
        <w:t xml:space="preserve">Severity-Gewichte: Messabweichung 0,7 | Volumendefizit 0,3</w:t>
      </w:r>
    </w:p>
    <w:p>
      <w:pPr>
        <w:pStyle w:val="Heading3"/>
        <w:spacing w:after="120" w:before="240"/>
      </w:pPr>
      <w:r>
        <w:rPr>
          <w:b/>
          <w:bCs/>
        </w:rPr>
        <w:t xml:space="preserve">Zone Pf3 — Chin-Neck Angle (Kinn-Hals-Winkel)</w:t>
      </w:r>
    </w:p>
    <w:p>
      <w:pPr>
        <w:spacing w:after="120"/>
        <w:jc w:val="left"/>
      </w:pPr>
      <w:r>
        <w:rPr>
          <w:b/>
          <w:bCs/>
        </w:rPr>
        <w:t xml:space="preserve">Region: Profil | Primäre Ansicht: Profil | Sekundäre: — | Fusion: Nein</w:t>
      </w:r>
    </w:p>
    <w:p>
      <w:pPr>
        <w:spacing w:after="120"/>
        <w:jc w:val="left"/>
      </w:pPr>
      <w:r>
        <w:t xml:space="preserve">Der cervicomentale Winkel definiert den Übergang von Kinn zu Hals. Ein Winkel von 105–120° gilt als ideal und vermittelt ein jugendliches, definiertes Profil. Ein stumpfer Winkel (&gt; 130°) kann auf submentales Fett, Platysma-Laxizität oder Kinnretrusion hindeuten.</w:t>
      </w:r>
    </w:p>
    <w:p>
      <w:pPr>
        <w:spacing w:after="120"/>
        <w:jc w:val="left"/>
      </w:pPr>
      <w:r>
        <w:t xml:space="preserve">Referenzwerte: cervicomental_angle_deg: 105–120°</w:t>
      </w:r>
    </w:p>
    <w:p>
      <w:pPr>
        <w:spacing w:after="120"/>
        <w:jc w:val="left"/>
      </w:pPr>
      <w:r>
        <w:t xml:space="preserve">Severity-Gewichte: Messabweichung 0,5 | Alterung 0,3 | Volumendefizit 0,2</w:t>
      </w:r>
    </w:p>
    <w:p>
      <w:pPr>
        <w:pStyle w:val="Heading2"/>
        <w:spacing w:after="180" w:before="360"/>
      </w:pPr>
      <w:r>
        <w:rPr>
          <w:b/>
          <w:bCs/>
        </w:rPr>
        <w:t xml:space="preserve">9.6 View-Matrix: Kameraposition und Zonenanalyse</w:t>
      </w:r>
    </w:p>
    <w:p>
      <w:pPr>
        <w:spacing w:after="120"/>
        <w:jc w:val="left"/>
      </w:pPr>
      <w:r>
        <w:t xml:space="preserve">Die folgende Tabelle zeigt, welche Kameraposition für welche Zone primär oder sekundär genutzt wird und ob eine Multi-View-Fusion sinnvoll ist.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400"/>
        <w:gridCol w:w="1400"/>
        <w:gridCol w:w="1400"/>
        <w:gridCol w:w="1000"/>
      </w:tblGrid>
      <w:tr>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Zone-Name</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Frontal</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Profil</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Oblique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Fusion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 Lateral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Forehead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Zygomatic Arch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Zygomatic Eminence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Anteromedial Cheek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 Fold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Upper Lip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Lower Lip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Corners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Mn1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Marionette Lines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Pre-Jowl Sulcus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Nasal Profile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Projection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Chin-Neck Angle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bl>
    <w:p>
      <w:pPr>
        <w:pStyle w:val="Heading2"/>
        <w:spacing w:after="180" w:before="360"/>
      </w:pPr>
      <w:r>
        <w:rPr>
          <w:b/>
          <w:bCs/>
        </w:rPr>
        <w:t xml:space="preserve">9.7 Severity-Berechnung</w:t>
      </w:r>
    </w:p>
    <w:p>
      <w:pPr>
        <w:spacing w:after="120"/>
        <w:jc w:val="left"/>
      </w:pPr>
      <w:r>
        <w:t xml:space="preserve">Der Schweregrad (Severity) jeder Zone wird auf einer Skala von 0 bis 10 berechnet, wobei 0 keinen Behandlungsbedarf und 10 maximalen Behandlungsbedarf bedeutet. Die Berechnung basiert auf einer gewichteten Kombination von vier Faktoren:</w:t>
      </w:r>
    </w:p>
    <w:p>
      <w:pPr>
        <w:spacing w:after="120"/>
        <w:jc w:val="left"/>
      </w:pPr>
      <w:r>
        <w:rPr>
          <w:b/>
          <w:bCs/>
        </w:rPr>
        <w:t xml:space="preserve">Severity = Messabweichung × 0,4 + Volumendefizit × 0,3 + Asymmetrie × 0,2 + Alterung × 0,1</w:t>
      </w:r>
    </w:p>
    <w:p>
      <w:pPr>
        <w:spacing w:after="120"/>
        <w:jc w:val="left"/>
      </w:pPr>
      <w:r>
        <w:t xml:space="preserve">Jede Zone besitzt individuell angepasste Gewichte, die die klinische Relevanz der einzelnen Faktoren für diese spezifische Zone widerspiegeln. Beispielsweise hat die Glabella (Bw2) einen höheren Alterungs- und Muskelaktivitätsanteil, während die Wangenhöhe (Ck2) stärker vom Volumendefizit abhängt.</w:t>
      </w:r>
    </w:p>
    <w:p>
      <w:pPr>
        <w:spacing w:after="120"/>
        <w:jc w:val="left"/>
      </w:pPr>
      <w:r>
        <w:rPr>
          <w:b/>
          <w:bCs/>
        </w:rPr>
        <w:t xml:space="preserve">Klinische Interpretation der Severity-Stufen: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4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Empfehlung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Keine Behandlung erforderlich</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optional, Patient entscheidet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Moderater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empfohlen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indiziert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7–10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Schwerer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Dringende Behandlung, ggf. Ausschluss Pathologie</w:t>
            </w:r>
          </w:p>
        </w:tc>
      </w:tr>
    </w:tbl>
    <w:p>
      <w:pPr>
        <w:spacing w:after="120"/>
        <w:jc w:val="left"/>
      </w:pPr>
      <w:r>
        <w:t xml:space="preserve">Der zusammengesetzte Aesthetic Score (0–100) wird aus den gewichteten Severity-Werten aller Zonen berechnet: 100 bedeutet kein Behandlungsbedarf, 0 bedeutet maximaler Bedarf in allen Zonen. Die Gewichtung berücksichtigt die regionale Bedeutung: Midface-Zonen werden mit Faktor 1,3, Lower-Face-Zonen mit 1,1, Upper-Face mit 1,0 und Profil-Zonen mit 0,9 gewichtet.</w:t>
      </w:r>
    </w:p>
    <w:p>
      <w:r>
        <w:br w:type="page"/>
      </w:r>
    </w:p>
    <w:p>
      <w:pPr>
        <w:pStyle w:val="Heading1"/>
        <w:spacing w:after="240" w:before="480"/>
      </w:pPr>
      <w:r>
        <w:rPr>
          <w:b/>
          <w:bCs/>
        </w:rPr>
        <w:t xml:space="preserve">Kapitel 10: Multi-View Fusion</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Teil IV — Behandlungsplanung</w:t>
      </w:r>
    </w:p>
    <w:p>
      <w:pPr>
        <w:pStyle w:val="Heading1"/>
        <w:spacing w:after="240" w:before="480"/>
      </w:pPr>
      <w:r>
        <w:rPr>
          <w:b/>
          <w:bCs/>
        </w:rPr>
        <w:t xml:space="preserve">Kapitel 11: Produkte und Materialien</w:t>
      </w:r>
    </w:p>
    <w:p>
      <w:pPr>
        <w:spacing w:after="120"/>
        <w:jc w:val="left"/>
      </w:pPr>
      <w:r>
        <w:t xml:space="preserve">Die Auswahl des geeigneten Produkts ist neben der korrekten Injektionstechnik der wichtigste Faktor für ein ästhetisch ansprechendes und sicheres Behandlungsergebnis. Dieses Kapitel klassifiziert die verfügbaren Produkte nach ihren rheologischen Eigenschaften und ordnet sie den anatomischen Behandlungszonen zu.</w:t>
      </w:r>
    </w:p>
    <w:p>
      <w:pPr>
        <w:pStyle w:val="Heading2"/>
        <w:spacing w:after="180" w:before="360"/>
      </w:pPr>
      <w:r>
        <w:rPr>
          <w:b/>
          <w:bCs/>
        </w:rPr>
        <w:t xml:space="preserve">11.1 Einführung in die Produktklassen</w:t>
      </w:r>
    </w:p>
    <w:p>
      <w:pPr>
        <w:spacing w:after="120"/>
        <w:jc w:val="left"/>
      </w:pPr>
      <w:r>
        <w:t xml:space="preserve">Die in der ästhetischen Medizin eingesetzten Produkte lassen sich in sechs Hauptkategorien einteilen:</w:t>
      </w:r>
    </w:p>
    <w:p>
      <w:pPr>
        <w:spacing w:after="120"/>
        <w:jc w:val="left"/>
      </w:pPr>
      <w:r>
        <w:t xml:space="preserve">1. HA Deep (Hoher G’): Hochvernetzte Hyaluronsäure-Filler für tiefe Volumisierung und strukturelle Unterstützung. Typische Anwendung: Mittelgesicht, Kinn, Kieferlinie.</w:t>
      </w:r>
    </w:p>
    <w:p>
      <w:pPr>
        <w:spacing w:after="120"/>
        <w:jc w:val="left"/>
      </w:pPr>
      <w:r>
        <w:t xml:space="preserve">2. HA Medium: Mittlere Vernetzung für Konturierung und Faltenbehandlung. Typische Anwendung: Nasolabialfalte, Marionettenfalten.</w:t>
      </w:r>
    </w:p>
    <w:p>
      <w:pPr>
        <w:spacing w:after="120"/>
        <w:jc w:val="left"/>
      </w:pPr>
      <w:r>
        <w:t xml:space="preserve">3. HA Soft (Niedriger G’): Weiche, fließfähige Filler für dynamische Areale. Typische Anwendung: Lippen, Tränental, Perioralregion.</w:t>
      </w:r>
    </w:p>
    <w:p>
      <w:pPr>
        <w:spacing w:after="120"/>
        <w:jc w:val="left"/>
      </w:pPr>
      <w:r>
        <w:t xml:space="preserve">4. Nicht-HA Volumizer: Calciumhydroxylapatit (CaHA) und Poly-L-Milchsäure (PLLA) — Biostimulantien mit langanhaltender Wirkung.</w:t>
      </w:r>
    </w:p>
    <w:p>
      <w:pPr>
        <w:spacing w:after="120"/>
        <w:jc w:val="left"/>
      </w:pPr>
      <w:r>
        <w:t xml:space="preserve">5. Neurotoxine: Botulinumtoxin Typ A zur Relaxation der mimischen Muskulatur.</w:t>
      </w:r>
    </w:p>
    <w:p>
      <w:pPr>
        <w:spacing w:after="120"/>
        <w:jc w:val="left"/>
      </w:pPr>
      <w:r>
        <w:t xml:space="preserve">6. Skin Booster: Niedrig vernetzte oder unvernetzte HA für Hauthydratation und -qualität.</w:t>
      </w:r>
    </w:p>
    <w:p>
      <w:pPr>
        <w:pStyle w:val="Heading2"/>
        <w:spacing w:after="180" w:before="360"/>
      </w:pPr>
      <w:r>
        <w:rPr>
          <w:b/>
          <w:bCs/>
        </w:rPr>
        <w:t xml:space="preserve">11.2 Hyaluronsäure-Filler: Rheologie und Klassifikation</w:t>
      </w:r>
    </w:p>
    <w:p>
      <w:pPr>
        <w:spacing w:after="120"/>
        <w:jc w:val="left"/>
      </w:pPr>
      <w:r>
        <w:t xml:space="preserve">Der elastische Modul G’ (G-Prime) ist der zentrale Parameter für die Produktauswahl. Er beschreibt die Steifigkeit eines Filler-Gels und bestimmt seine Fähigkeit, Gewebe anzuheben und seine Form zu behalten:</w:t>
      </w:r>
    </w:p>
    <w:p>
      <w:pPr>
        <w:spacing w:after="120"/>
        <w:ind w:left="360"/>
        <w:jc w:val="left"/>
      </w:pPr>
      <w:r>
        <w:t xml:space="preserve">• Hoher G’ (&gt; 200 Pa): Steifes Gel, gute Volumenprojektion, widersteht Gewebedruck. Ideal für supraperiostale Injektionen auf Knochen (Jochbogen, Kinn, Kieferlinie).</w:t>
      </w:r>
    </w:p>
    <w:p>
      <w:pPr>
        <w:spacing w:after="120"/>
        <w:ind w:left="360"/>
        <w:jc w:val="left"/>
      </w:pPr>
      <w:r>
        <w:t xml:space="preserve">• Mittlerer G’ (150–200 Pa): Ausgewogenes Profil für Konturierung und mäßige Volumengebung. Geeignet für die tiefe subkutane Ebene.</w:t>
      </w:r>
    </w:p>
    <w:p>
      <w:pPr>
        <w:spacing w:after="120"/>
        <w:ind w:left="360"/>
        <w:jc w:val="left"/>
      </w:pPr>
      <w:r>
        <w:t xml:space="preserve">• Niedriger G’ (&lt; 150 Pa): Weiches, flexibles Gel, das natürliche Bewegung erhält. Essenziell für Lippen und periorbitale Region.</w:t>
      </w:r>
    </w:p>
    <w:p>
      <w:pPr>
        <w:spacing w:after="120"/>
        <w:jc w:val="left"/>
      </w:pPr>
      <w:r>
        <w:t xml:space="preserve">Ein weiterer wichtiger Parameter ist die Kohäsivität — die Fähigkeit des Gels, als einheitliche Masse zusammenzubleiben. Hochkohäsive Filler verteilen sich weniger und sind daher für präzise Volumenplatzierung geeignet.</w:t>
      </w:r>
    </w:p>
    <w:p>
      <w:pPr>
        <w:spacing w:after="120"/>
        <w:jc w:val="left"/>
      </w:pPr>
      <w:r>
        <w:rPr>
          <w:b/>
          <w:bCs/>
        </w:rPr>
        <w:t xml:space="preserve">Tabelle 11.1: Übersicht der HA-Filler nach rheologischen Eigenschaften</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900"/>
        <w:gridCol w:w="800"/>
        <w:gridCol w:w="1000"/>
        <w:gridCol w:w="900"/>
        <w:gridCol w:w="2260"/>
      </w:tblGrid>
      <w:tr>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Produkt</w:t>
            </w:r>
          </w:p>
        </w:tc>
        <w:tc>
          <w:tcPr>
            <w:tcW w:type="dxa" w:w="11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Hersteller</w:t>
            </w:r>
          </w:p>
        </w:tc>
        <w:tc>
          <w:tcPr>
            <w:tcW w:type="dxa" w:w="9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Kategorie</w:t>
            </w:r>
          </w:p>
        </w:tc>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 (Pa)</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Viskosität</w:t>
            </w:r>
          </w:p>
        </w:tc>
        <w:tc>
          <w:tcPr>
            <w:tcW w:type="dxa" w:w="9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Dauer (Mon.)</w:t>
            </w:r>
          </w:p>
        </w:tc>
        <w:tc>
          <w:tcPr>
            <w:tcW w:type="dxa" w:w="22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Hauptindikationen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Voluma</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274</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12–18</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Mittelgesicht, Kinn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Volux</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Sehr hoch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12–24</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 Kinn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Vollure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178</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12–18</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 Marionette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Restylane Lyft</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Galderma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225</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Mittel-hoch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Mittelgesicht, Wange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Volbella</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98</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 Tränental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Restylane Kysse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Galderma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125</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Mittel-niedrig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Teoxane RHA Kiss</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Teoxane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Mittel-niedrig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w:t>
            </w:r>
          </w:p>
        </w:tc>
      </w:tr>
    </w:tbl>
    <w:p>
      <w:pPr>
        <w:pStyle w:val="Heading2"/>
        <w:spacing w:after="180" w:before="360"/>
      </w:pPr>
      <w:r>
        <w:rPr>
          <w:b/>
          <w:bCs/>
        </w:rPr>
        <w:t xml:space="preserve">11.3 Nicht-HA Volumizer</w:t>
      </w:r>
    </w:p>
    <w:p>
      <w:pPr>
        <w:pStyle w:val="Heading3"/>
        <w:spacing w:after="120" w:before="240"/>
      </w:pPr>
      <w:r>
        <w:rPr>
          <w:b/>
          <w:bCs/>
        </w:rPr>
        <w:t xml:space="preserve">Radiesse (Calciumhydroxylapatit)</w:t>
      </w:r>
    </w:p>
    <w:p>
      <w:pPr>
        <w:spacing w:after="120"/>
        <w:jc w:val="left"/>
      </w:pPr>
      <w:r>
        <w:rPr>
          <w:b/>
          <w:bCs/>
        </w:rPr>
        <w:t xml:space="preserve">Hersteller: Merz | Kategorie: Nicht-HA Volumizer | G’: 350 Pa | Dauer: 12–18 Monate</w:t>
      </w:r>
    </w:p>
    <w:p>
      <w:pPr>
        <w:spacing w:after="120"/>
        <w:jc w:val="left"/>
      </w:pPr>
      <w:r>
        <w:t xml:space="preserve">Radiesse besteht aus Calciumhydroxylapatit-Mikrosphären (CaHA) in einem Carboxymethylcellulose-Gel. Nach der Injektion wird das Trägergel resorbiert, während die CaHA-Partikel als Gerüst für die Neogenese von Kollagen Typ I und III dienen. Dieser biostimulatorische Effekt führt zu einer progressiven Gewebeverdickung über 3–6 Monate.</w:t>
      </w:r>
    </w:p>
    <w:p>
      <w:pPr>
        <w:spacing w:after="120"/>
        <w:jc w:val="left"/>
      </w:pPr>
      <w:r>
        <w:t xml:space="preserve">Indikationen: Ck1 (Jochbogen), Ck2 (Wangenhöhe), Ch1 (Kinn), Jl1 (Jawline), Jw1 (Pre-Jowl)</w:t>
      </w:r>
    </w:p>
    <w:p>
      <w:pPr>
        <w:spacing w:after="120"/>
        <w:jc w:val="left"/>
      </w:pPr>
      <w:r>
        <w:rPr>
          <w:b/>
          <w:bCs/>
        </w:rPr>
        <w:t xml:space="preserve">Kontraindikation Lippen: Radiesse ist NICHT für die Lippenaugmentation zugelassen. Da CaHA nicht durch Hyaluronidase aufgelöst werden kann, ist eine Komplikationsbehandlung im Gefäßverschlussfall deutlich eingeschränkt.</w:t>
      </w:r>
    </w:p>
    <w:p>
      <w:pPr>
        <w:spacing w:after="120"/>
        <w:jc w:val="left"/>
      </w:pPr>
      <w:r>
        <w:t xml:space="preserve">Technik: Supraperiostale Bolusinjektion oder tiefes Linear Threading. Aspiration vor Injektion obligat.</w:t>
      </w:r>
    </w:p>
    <w:p>
      <w:pPr>
        <w:pStyle w:val="Heading3"/>
        <w:spacing w:after="120" w:before="240"/>
      </w:pPr>
      <w:r>
        <w:rPr>
          <w:b/>
          <w:bCs/>
        </w:rPr>
        <w:t xml:space="preserve">Sculptra (Poly-L-Milchsäure)</w:t>
      </w:r>
    </w:p>
    <w:p>
      <w:pPr>
        <w:spacing w:after="120"/>
        <w:jc w:val="left"/>
      </w:pPr>
      <w:r>
        <w:rPr>
          <w:b/>
          <w:bCs/>
        </w:rPr>
        <w:t xml:space="preserve">Hersteller: Galderma | Kategorie: Nicht-HA Biostimulator | Dauer: 18–24 Monate</w:t>
      </w:r>
    </w:p>
    <w:p>
      <w:pPr>
        <w:spacing w:after="120"/>
        <w:jc w:val="left"/>
      </w:pPr>
      <w:r>
        <w:t xml:space="preserve">Sculptra ist ein PLLA-basierter Biostimulator, der über einen Zeitraum von 2–3 Behandlungssitzungen (im Abstand von 4–6 Wochen) eine progressive Volumenwiederherstellung bewirkt. Das Produkt wird vor der Anwendung rekonstituiert und verdünnt.</w:t>
      </w:r>
    </w:p>
    <w:p>
      <w:pPr>
        <w:spacing w:after="120"/>
        <w:jc w:val="left"/>
      </w:pPr>
      <w:r>
        <w:t xml:space="preserve">Indikationen: T1 (Temporal), Ck2 (Wangenhöhe), Ck3 (Mittelwange) — besonders bei diffusem Volumenverlust</w:t>
      </w:r>
    </w:p>
    <w:p>
      <w:pPr>
        <w:spacing w:after="120"/>
        <w:jc w:val="left"/>
      </w:pPr>
      <w:r>
        <w:t xml:space="preserve">Technik: Fächer- oder Linear-Threading-Technik in der tiefen subkutanen Ebene. Massage nach Injektion (5-5-5-Regel: 5 Minuten, 5-mal täglich, 5 Tage) zur Vermeidung von Knollenbildung.</w:t>
      </w:r>
    </w:p>
    <w:p>
      <w:pPr>
        <w:pStyle w:val="Heading2"/>
        <w:spacing w:after="180" w:before="360"/>
      </w:pPr>
      <w:r>
        <w:rPr>
          <w:b/>
          <w:bCs/>
        </w:rPr>
        <w:t xml:space="preserve">11.4 Neurotoxine</w:t>
      </w:r>
    </w:p>
    <w:p>
      <w:pPr>
        <w:spacing w:after="120"/>
        <w:jc w:val="left"/>
      </w:pPr>
      <w:r>
        <w:t xml:space="preserve">Botulinumtoxin Typ A (BoNT-A) hemmt die Acetylcholin-Freisetzung an der neuromuskulären Endplatte und führt zu einer vorübergehenden Relaxation der behandelten Muskulatur. Die drei in Europa zugelassenen Präparate unterscheiden sich in ihrer Formulierung, Diffusionseigenschaft und Dosierung:</w:t>
      </w:r>
    </w:p>
    <w:p>
      <w:pPr>
        <w:pStyle w:val="Heading3"/>
        <w:spacing w:after="120" w:before="240"/>
      </w:pPr>
      <w:r>
        <w:rPr>
          <w:b/>
          <w:bCs/>
        </w:rPr>
        <w:t xml:space="preserve">Botox (OnabotulinumtoxinA)</w:t>
      </w:r>
    </w:p>
    <w:p>
      <w:pPr>
        <w:spacing w:after="120"/>
        <w:jc w:val="left"/>
      </w:pPr>
      <w:r>
        <w:t xml:space="preserve">Hersteller: Allergan | Dauer: 3–5 Monate</w:t>
      </w:r>
    </w:p>
    <w:p>
      <w:pPr>
        <w:spacing w:after="120"/>
        <w:jc w:val="left"/>
      </w:pPr>
      <w:r>
        <w:t xml:space="preserve">Der Goldstandard unter den Neurotoxinen. Präzise Wirkung mit geringer Diffusion, was eine punktgenaue Applikation ermöglicht. Dosierung dient als Referenz für Umrechnungen.</w:t>
      </w:r>
    </w:p>
    <w:p>
      <w:pPr>
        <w:pStyle w:val="Heading3"/>
        <w:spacing w:after="120" w:before="240"/>
      </w:pPr>
      <w:r>
        <w:rPr>
          <w:b/>
          <w:bCs/>
        </w:rPr>
        <w:t xml:space="preserve">Dysport (AbobotulinumtoxinA)</w:t>
      </w:r>
    </w:p>
    <w:p>
      <w:pPr>
        <w:spacing w:after="120"/>
        <w:jc w:val="left"/>
      </w:pPr>
      <w:r>
        <w:t xml:space="preserve">Hersteller: Galderma | Dauer: 3–5 Monate | Umrechnung: ca. 2,5:1 zu Botox</w:t>
      </w:r>
    </w:p>
    <w:p>
      <w:pPr>
        <w:spacing w:after="120"/>
        <w:jc w:val="left"/>
      </w:pPr>
      <w:r>
        <w:t xml:space="preserve">Höherer Diffusionsradius als Botox — vorteilhaft für flächige Areale (Stirn), nachteilig bei präzisionsabhängigen Indikationen (Lip Flip).</w:t>
      </w:r>
    </w:p>
    <w:p>
      <w:pPr>
        <w:pStyle w:val="Heading3"/>
        <w:spacing w:after="120" w:before="240"/>
      </w:pPr>
      <w:r>
        <w:rPr>
          <w:b/>
          <w:bCs/>
        </w:rPr>
        <w:t xml:space="preserve">Xeomin (IncobotulinumtoxinA)</w:t>
      </w:r>
    </w:p>
    <w:p>
      <w:pPr>
        <w:spacing w:after="120"/>
        <w:jc w:val="left"/>
      </w:pPr>
      <w:r>
        <w:t xml:space="preserve">Hersteller: Merz | Dauer: 3–5 Monate | Umrechnung: 1:1 zu Botox</w:t>
      </w:r>
    </w:p>
    <w:p>
      <w:pPr>
        <w:spacing w:after="120"/>
        <w:jc w:val="left"/>
      </w:pPr>
      <w:r>
        <w:t xml:space="preserve">Reines Neurotoxin ohne Komplexproteine. Theoretisch geringeres Risiko der Antikörperbildung bei Langzeitanwendung. Besonders geeignet für Patienten, die auf herkömmliche Präparate nicht mehr ansprechen (sekundäre Non-Responder).</w:t>
      </w:r>
    </w:p>
    <w:p>
      <w:pPr>
        <w:spacing w:after="120"/>
        <w:jc w:val="left"/>
      </w:pPr>
      <w:r>
        <w:rPr>
          <w:b/>
          <w:bCs/>
        </w:rPr>
        <w:t xml:space="preserve">Tabelle 11.2: Neurotoxin-Indikationen nach Zone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900"/>
        <w:gridCol w:w="2200"/>
        <w:gridCol w:w="3760"/>
      </w:tblGrid>
      <w:tr>
        <w:tc>
          <w:tcPr>
            <w:tcW w:type="dxa" w:w="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Zielmuskel</w:t>
            </w:r>
          </w:p>
        </w:tc>
        <w:tc>
          <w:tcPr>
            <w:tcW w:type="dxa" w:w="9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Dosis (U)</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Indikation</w:t>
            </w:r>
          </w:p>
        </w:tc>
        <w:tc>
          <w:tcPr>
            <w:tcW w:type="dxa" w:w="3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Sicherheitshinweise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corrugator supercilii</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Glabella-Komplex („11-Linien“)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Ptosis-Risiko bei zu tiefer Injektion</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procerus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Horizontale Glabellafalten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Zentr. Injektion auf Proc. nasalis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frontalis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Horizontale Stirnfalten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IMMER Glabella mitbehandeln; Ptose-Risiko</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orbicularis oris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Flip (Eversion Oberlippe)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Sehr niedrige Dosen; Risiko inkompetenter Lippenschluss</w:t>
            </w:r>
          </w:p>
        </w:tc>
      </w:tr>
    </w:tbl>
    <w:p>
      <w:pPr>
        <w:pStyle w:val="Heading2"/>
        <w:spacing w:after="180" w:before="360"/>
      </w:pPr>
      <w:r>
        <w:rPr>
          <w:b/>
          <w:bCs/>
        </w:rPr>
        <w:t xml:space="preserve">11.5 Skin Booster</w:t>
      </w:r>
    </w:p>
    <w:p>
      <w:pPr>
        <w:pStyle w:val="Heading3"/>
        <w:spacing w:after="120" w:before="240"/>
      </w:pPr>
      <w:r>
        <w:rPr>
          <w:b/>
          <w:bCs/>
        </w:rPr>
        <w:t xml:space="preserve">Profhilo</w:t>
      </w:r>
    </w:p>
    <w:p>
      <w:pPr>
        <w:spacing w:after="120"/>
        <w:jc w:val="left"/>
      </w:pPr>
      <w:r>
        <w:rPr>
          <w:b/>
          <w:bCs/>
        </w:rPr>
        <w:t xml:space="preserve">Hersteller: IBSA | Konzentration: 32 mg + 32 mg HA | Technik: BAP | Tiefe: Subkutan | Dauer: 4–6 Monate</w:t>
      </w:r>
    </w:p>
    <w:p>
      <w:pPr>
        <w:spacing w:after="120"/>
        <w:jc w:val="left"/>
      </w:pPr>
      <w:r>
        <w:t xml:space="preserve">Profhilo ist ein Hyaluronsäure-Bioremodeler (kein Volumenfiller) mit einer einzigartigen Formulierung aus hoch- und niedrigmolekularer HA. Die Injektion erfolgt an 5 Bioästhetischen Punkten (BAP) pro Gesichtshälfte in der subkutanen Ebene. Das Produkt verteilt sich durch seine hohe Fließfähigkeit gleichmäßig im Gewebe und stimuliert die Produktion von Kollagen, Elastin und Adipozyten.</w:t>
      </w:r>
    </w:p>
    <w:p>
      <w:pPr>
        <w:spacing w:after="120"/>
        <w:jc w:val="left"/>
      </w:pPr>
      <w:r>
        <w:t xml:space="preserve">Indikationen: Ck3 (Mittelwange), T1 (Temporal) — Hautalterung, Elastizitätsverlust, Hautqualitätsverbesserung</w:t>
      </w:r>
    </w:p>
    <w:p>
      <w:pPr>
        <w:pStyle w:val="Heading3"/>
        <w:spacing w:after="120" w:before="240"/>
      </w:pPr>
      <w:r>
        <w:rPr>
          <w:b/>
          <w:bCs/>
        </w:rPr>
        <w:t xml:space="preserve">Juvederm Volite</w:t>
      </w:r>
    </w:p>
    <w:p>
      <w:pPr>
        <w:spacing w:after="120"/>
        <w:jc w:val="left"/>
      </w:pPr>
      <w:r>
        <w:rPr>
          <w:b/>
          <w:bCs/>
        </w:rPr>
        <w:t xml:space="preserve">Hersteller: Allergan | Technik: Mesotherapie/Intradermal | Tiefe: Intradermal | Dauer: 6–9 Monate</w:t>
      </w:r>
    </w:p>
    <w:p>
      <w:pPr>
        <w:spacing w:after="120"/>
        <w:jc w:val="left"/>
      </w:pPr>
      <w:r>
        <w:t xml:space="preserve">Volite ist ein mikrodosierter HA-Filler für die intradermale Applikation. Durch multiple kleine Injektionspunkte wird die Hauthydratation, Elastizität und Glätte verbessert. Im Gegensatz zu Profhilo zielt Volite primär auf die Hautqualität, nicht auf Geweberemodeling.</w:t>
      </w:r>
    </w:p>
    <w:p>
      <w:pPr>
        <w:pStyle w:val="Heading2"/>
        <w:spacing w:after="180" w:before="360"/>
      </w:pPr>
      <w:r>
        <w:rPr>
          <w:b/>
          <w:bCs/>
        </w:rPr>
        <w:t xml:space="preserve">11.6 Produktauswahl nach Injektionstiefe</w:t>
      </w:r>
    </w:p>
    <w:p>
      <w:pPr>
        <w:spacing w:after="120"/>
        <w:jc w:val="left"/>
      </w:pPr>
      <w:r>
        <w:t xml:space="preserve">Die Injektionstiefe bestimmt maßgeblich die Produktwahl. Die folgende Tabelle ordnet die Produktkategorien den anatomischen Injektionsebenen und typischen Behandlungszonen zu:</w:t>
      </w:r>
    </w:p>
    <w:p>
      <w:pPr>
        <w:spacing w:after="120"/>
        <w:jc w:val="left"/>
      </w:pPr>
      <w:r>
        <w:rPr>
          <w:b/>
          <w:bCs/>
        </w:rPr>
        <w:t xml:space="preserve">Tabelle 11.3: Injektionstiefe, Produktkategorie und Zielzonen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Injektionstiefe</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Produktkategorie</w:t>
            </w:r>
          </w:p>
        </w:tc>
        <w:tc>
          <w:tcPr>
            <w:tcW w:type="dxa" w:w="3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Zonen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Supraperiostal (auf Knochen)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 CaHA</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 Ck2, Ch1, Jl1, Bw1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 subkutan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 PLLA</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 Mn1, Ck3, T1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Subkutan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Booster (Profhilo)</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 T1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Subdermal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 Lp2, Tt1, Pf1, Lp3</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Intradermal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Booster (Volite)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 T1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Intramuskulär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Neurotoxin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 Fo1</w:t>
            </w:r>
          </w:p>
        </w:tc>
      </w:tr>
    </w:tbl>
    <w:p>
      <w:pPr>
        <w:spacing w:after="120"/>
        <w:jc w:val="left"/>
      </w:pPr>
      <w:r>
        <w:t xml:space="preserve">Entscheidend für die sichere Produktplatzierung ist die genaue Kenntnis der Gewebeschichten und der Gefäßanatomie in jeder Zone. Supraperiostale Injektionen sind in den meisten Zonen die sicherste Technik, da die großen Gefäße überwiegend in der subkutanen und subdermalen Ebene verlaufen.</w:t>
      </w:r>
    </w:p>
    <w:p>
      <w:r>
        <w:br w:type="page"/>
      </w:r>
    </w:p>
    <w:p>
      <w:pPr>
        <w:pStyle w:val="Heading1"/>
        <w:spacing w:after="240" w:before="480"/>
      </w:pPr>
      <w:r>
        <w:rPr>
          <w:b/>
          <w:bCs/>
        </w:rPr>
        <w:t xml:space="preserve">Kapitel 12: Zone-zu-Produkt-Matching</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Kapitel 13: Klinische Priorisierung</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Kapitel 14: Sicherheit und Kontraindikationen</w:t>
      </w:r>
    </w:p>
    <w:p>
      <w:pPr>
        <w:spacing w:after="120"/>
        <w:jc w:val="left"/>
      </w:pPr>
      <w:r>
        <w:t xml:space="preserve">Die Sicherheit des Patienten hat in der aesthetischen Medizin hoechste Prioritaet. Dieses Kapitel beschreibt das automatisierte Sicherheitssystem (Contraindication Checker) des Aesthetic Biometrics Engine, das als letzte Pruefinstanz vor der Behandlungsplanausgabe geschaltet ist. Das System fuehrt sechs unabhaengige Sicherheitschecks durch und gibt strukturierte Warnungen mit abgestuftem Schweregrad aus.</w:t>
      </w:r>
    </w:p>
    <w:p>
      <w:pPr>
        <w:spacing w:after="120"/>
        <w:jc w:val="left"/>
      </w:pPr>
      <w:r>
        <w:rPr>
          <w:b/>
          <w:bCs/>
        </w:rPr>
        <w:t xml:space="preserve">WICHTIG: Das automatisierte Sicherheitssystem ersetzt NICHT die klinische Beurteilung durch den behandelnden Arzt. Es stellt automatisierte Safety-Flags bereit, die vom Behandler geprueft und im klinischen Kontext bewertet werden muessen.</w:t>
      </w:r>
    </w:p>
    <w:p>
      <w:pPr>
        <w:pStyle w:val="Heading3"/>
        <w:spacing w:after="120" w:before="240"/>
      </w:pPr>
      <w:r>
        <w:rPr>
          <w:b/>
          <w:bCs/>
        </w:rPr>
        <w:t xml:space="preserve">Schweregrade der Kontraindikationen</w:t>
      </w:r>
    </w:p>
    <w:p>
      <w:pPr>
        <w:spacing w:after="120"/>
        <w:jc w:val="left"/>
      </w:pPr>
      <w:r>
        <w:t xml:space="preserve">Das System verwendet vier Schweregrade, absteigend nach Dringlichkeit:</w:t>
      </w:r>
    </w:p>
    <w:p>
      <w:pPr>
        <w:spacing w:after="120"/>
        <w:jc w:val="left"/>
      </w:pPr>
      <w:r>
        <w:rPr>
          <w:b/>
          <w:bCs/>
        </w:rPr>
        <w:t xml:space="preserve">Tabelle 14.1: Schweregrade der Kontraindikationen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400"/>
        <w:gridCol w:w="33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Schweregrad</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Bedeutung</w:t>
            </w:r>
          </w:p>
        </w:tc>
        <w:tc>
          <w:tcPr>
            <w:tcW w:type="dxa" w:w="3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Handlungsanweisung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CONTRAINDICATED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Kontraindiziert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dieser Zone nicht durchfuehren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Absolute Kontraindikation; keine Behandlung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Ueberweisung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Moegliche Pathologie; Facharztabklaerung</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erst nach Ausschluss der Pathologie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Vorsicht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Erhoehtes Risiko; erfahrener Injector erforderlich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moeglich, aber mit besonderen Vorsichtsmassnahmen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Warnung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Hinweis auf suboptimale Vorgehensweise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Behandlungsplan ueberdenken und ggf. anpassen</w:t>
            </w:r>
          </w:p>
        </w:tc>
      </w:tr>
    </w:tbl>
    <w:p>
      <w:pPr>
        <w:spacing w:after="120"/>
        <w:jc w:val="left"/>
      </w:pPr>
      <w:r>
        <w:t xml:space="preserve">Die Ergebnisse werden nach Schweregrad sortiert ausgegeben: CONTRAINDICATED zuerst, dann REFERRAL, CAUTION und zuletzt WARNING.</w:t>
      </w:r>
    </w:p>
    <w:p>
      <w:pPr>
        <w:pStyle w:val="Heading2"/>
        <w:spacing w:after="180" w:before="360"/>
      </w:pPr>
      <w:r>
        <w:rPr>
          <w:b/>
          <w:bCs/>
        </w:rPr>
        <w:t xml:space="preserve">14.1 Vaskulaere Risikozonen</w:t>
      </w:r>
    </w:p>
    <w:p>
      <w:pPr>
        <w:spacing w:after="120"/>
        <w:jc w:val="left"/>
      </w:pPr>
      <w:r>
        <w:t xml:space="preserve">Vaskulaere Komplikationen (Gefaessverschluesse) sind die schwerwiegendsten Risiken bei Filler-Injektionen. Ein intraarterielle Injektion oder eine Kompression eines Gefaesses kann zu Hautnekrose, Gewebeverlust und im schlimmsten Fall zu Erblindung (bei retinaler Embolie ueber die A. ophthalmica) fuehren. Das System identifiziert acht Hochrisiko-Zonen mit den zugehoerigen Gefaessen:</w:t>
      </w:r>
    </w:p>
    <w:p>
      <w:pPr>
        <w:spacing w:after="120"/>
        <w:jc w:val="left"/>
      </w:pPr>
      <w:r>
        <w:rPr>
          <w:b/>
          <w:bCs/>
        </w:rPr>
        <w:t xml:space="preserve">Tabelle 14.2: Vaskulaere Risikozonen und zugehoerige Arterien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600"/>
        <w:gridCol w:w="4060"/>
      </w:tblGrid>
      <w:tr>
        <w:tc>
          <w:tcPr>
            <w:tcW w:type="dxa" w:w="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Zone-Name</w:t>
            </w:r>
          </w:p>
        </w:tc>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Gefaehrdete Arterie(n)</w:t>
            </w:r>
          </w:p>
        </w:tc>
        <w:tc>
          <w:tcPr>
            <w:tcW w:type="dxa" w:w="4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Risikoszenario</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angularis, A. infraorbitalis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Retinale Embolie bei Reflux in A. ophthalmica; Hautnekrose periorbital</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 Fold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facialis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Nekrose der Nasolabialregion; selten retinale Beteiligung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Nasal Profile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dorsalis nasi, A. angularis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HOECHSTES RISIKO: Retinale Embolie, Nasenspitzennekrose, Erblindung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Upper Lip</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labialis superior</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Lippennekrose, Ulzeration, Narbenbildung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Lower Lip</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labialis inferior</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Lippennekrose, Ulzeration, Narbenbildung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facialis (Incisura mandibulae)</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Nekrose der Wangenregion; Ausbreitung nach cranial moeglich</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temporalis superficialis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Temporale Hautnekrose; selten cerebrale Beteiligung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 Lateral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supraorbitalis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Brauennekrose; Steckdose-Deformitaet bei Tiefenschaden</w:t>
            </w:r>
          </w:p>
        </w:tc>
      </w:tr>
    </w:tbl>
    <w:p>
      <w:pPr>
        <w:pStyle w:val="Heading3"/>
        <w:spacing w:after="120" w:before="240"/>
      </w:pPr>
      <w:r>
        <w:rPr>
          <w:b/>
          <w:bCs/>
        </w:rPr>
        <w:t xml:space="preserve">14.1.1 Automatische Risikoerkennung</w:t>
      </w:r>
    </w:p>
    <w:p>
      <w:pPr>
        <w:spacing w:after="120"/>
        <w:jc w:val="left"/>
      </w:pPr>
      <w:r>
        <w:t xml:space="preserve">Das System prueft fuer jede Zone, ob sie in der VASCULAR_RISK_ZONES-Datenbank als Hochrisiko-Zone gelistet ist (is_high_risk_zone). Wenn ja und wenn der Severity-Score der Zone den Schwellenwert von 5,0 ueberschreitet (HIGH_RISK_SEVERITY_THRESHOLD = 5,0), wird eine CAUTION-Warnung generiert:</w:t>
      </w:r>
    </w:p>
    <w:p>
      <w:pPr>
        <w:spacing w:after="120"/>
        <w:jc w:val="left"/>
      </w:pPr>
      <w:r>
        <w:t xml:space="preserve">Logik: WENN is_high_risk_zone(zone_id) UND severity ≥ 5,0 DANN erzeuge CAUTION mit Angabe der betroffenen Gefaesse.</w:t>
      </w:r>
    </w:p>
    <w:p>
      <w:pPr>
        <w:spacing w:after="120"/>
        <w:jc w:val="left"/>
      </w:pPr>
      <w:r>
        <w:t xml:space="preserve">Der Schwellenwert von 5,0 stellt sicher, dass nur Zonen mit signifikantem Behandlungsbedarf flagged werden — bei niedrigem Severity waere die Behandlung ohnehin gering.</w:t>
      </w:r>
    </w:p>
    <w:p>
      <w:pPr>
        <w:pStyle w:val="Heading3"/>
        <w:spacing w:after="120" w:before="240"/>
      </w:pPr>
      <w:r>
        <w:rPr>
          <w:b/>
          <w:bCs/>
        </w:rPr>
        <w:t xml:space="preserve">14.1.2 Empfehlungen fuer Hochrisiko-Zonen</w:t>
      </w:r>
    </w:p>
    <w:p>
      <w:pPr>
        <w:spacing w:after="120"/>
        <w:jc w:val="left"/>
      </w:pPr>
      <w:r>
        <w:t xml:space="preserve">Fuer alle als vaskulaer riskant identifizierten Zonen gibt das System folgende Standardempfehlungen:</w:t>
      </w:r>
    </w:p>
    <w:p>
      <w:pPr>
        <w:spacing w:after="120"/>
        <w:ind w:left="360"/>
        <w:jc w:val="left"/>
      </w:pPr>
      <w:r>
        <w:t xml:space="preserve">• Stumpfe Kanuele verwenden, wo technisch moeglich (insbesondere Tt1, Pf1, Ns1)</w:t>
      </w:r>
    </w:p>
    <w:p>
      <w:pPr>
        <w:spacing w:after="120"/>
        <w:ind w:left="360"/>
        <w:jc w:val="left"/>
      </w:pPr>
      <w:r>
        <w:t xml:space="preserve">• Vor jeder Injektion aspirieren (negative Aspiration schliesst intraarterielle Lage nicht sicher aus, reduziert aber das Risiko)</w:t>
      </w:r>
    </w:p>
    <w:p>
      <w:pPr>
        <w:spacing w:after="120"/>
        <w:ind w:left="360"/>
        <w:jc w:val="left"/>
      </w:pPr>
      <w:r>
        <w:t xml:space="preserve">• Hyaluronidase griffbereit halten (siehe Abschnitt 14.2)</w:t>
      </w:r>
    </w:p>
    <w:p>
      <w:pPr>
        <w:spacing w:after="120"/>
        <w:ind w:left="360"/>
        <w:jc w:val="left"/>
      </w:pPr>
      <w:r>
        <w:t xml:space="preserve">• Behandlung nur durch erfahrenen Injector mit Kenntnissen der Gefaessanatomie</w:t>
      </w:r>
    </w:p>
    <w:p>
      <w:pPr>
        <w:spacing w:after="120"/>
        <w:ind w:left="360"/>
        <w:jc w:val="left"/>
      </w:pPr>
      <w:r>
        <w:t xml:space="preserve">• Langsame Injektion kleiner Volumina zur Minimierung des Embolierisikos</w:t>
      </w:r>
    </w:p>
    <w:p>
      <w:pPr>
        <w:pStyle w:val="Heading3"/>
        <w:spacing w:after="120" w:before="240"/>
      </w:pPr>
      <w:r>
        <w:rPr>
          <w:b/>
          <w:bCs/>
        </w:rPr>
        <w:t xml:space="preserve">14.1.3 Zonenspezifische Sicherheitshinweise</w:t>
      </w:r>
    </w:p>
    <w:p>
      <w:pPr>
        <w:spacing w:after="120"/>
        <w:jc w:val="left"/>
      </w:pPr>
      <w:r>
        <w:rPr>
          <w:b/>
          <w:bCs/>
        </w:rPr>
        <w:t xml:space="preserve">Zone Pf1 (Nasenprofil) — Hoechste Risikostufe</w:t>
      </w:r>
    </w:p>
    <w:p>
      <w:pPr>
        <w:spacing w:after="120"/>
        <w:jc w:val="left"/>
      </w:pPr>
      <w:r>
        <w:t xml:space="preserve">Die non-chirurgische Rhinoplastik ist der haeufigste Ausloeser fuer vaskulaere Komplikationen in der aesthetischen Medizin. Die A. dorsalis nasi verlaeuft oberflaeglich auf dem Nasenruecken und kann bereits durch geringe Filler-Mengen komprimiert oder embolisiert werden. Die Produktdatenbank (Kapitel 11) gibt fuer Pf1 explizit folgende Safety Notes aus:</w:t>
      </w:r>
    </w:p>
    <w:p>
      <w:pPr>
        <w:spacing w:after="120"/>
        <w:ind w:left="360"/>
        <w:jc w:val="left"/>
      </w:pPr>
      <w:r>
        <w:t xml:space="preserve">• „HIGH-RISK ZONE: Dorsal nasal artery — inject slowly, use blunt cannula“</w:t>
      </w:r>
    </w:p>
    <w:p>
      <w:pPr>
        <w:spacing w:after="120"/>
        <w:ind w:left="360"/>
        <w:jc w:val="left"/>
      </w:pPr>
      <w:r>
        <w:t xml:space="preserve">• „Risk of skin necrosis and visual impairment with vascular compromise“</w:t>
      </w:r>
    </w:p>
    <w:p>
      <w:pPr>
        <w:spacing w:after="120"/>
        <w:jc w:val="left"/>
      </w:pPr>
      <w:r>
        <w:rPr>
          <w:b/>
          <w:bCs/>
        </w:rPr>
        <w:t xml:space="preserve">Zone Tt1 (Tear Trough) — Hohe Risikostufe</w:t>
      </w:r>
    </w:p>
    <w:p>
      <w:pPr>
        <w:spacing w:after="120"/>
        <w:jc w:val="left"/>
      </w:pPr>
      <w:r>
        <w:t xml:space="preserve">Die A. angularis und die A. infraorbitalis verlaufen im Bereich des Traenentals. Die duenne Haut und die Naehe zur Orbita erhoehen das Komplikationsrisiko. Aus der Produktdatenbank:</w:t>
      </w:r>
    </w:p>
    <w:p>
      <w:pPr>
        <w:spacing w:after="120"/>
        <w:ind w:left="360"/>
        <w:jc w:val="left"/>
      </w:pPr>
      <w:r>
        <w:t xml:space="preserve">• „HIGH-RISK ZONE: Angular artery — use blunt cannula preferred“</w:t>
      </w:r>
    </w:p>
    <w:p>
      <w:pPr>
        <w:spacing w:after="120"/>
        <w:ind w:left="360"/>
        <w:jc w:val="left"/>
      </w:pPr>
      <w:r>
        <w:t xml:space="preserve">• „Start conservatively (0.1ml per side), reassess at 2 weeks“</w:t>
      </w:r>
    </w:p>
    <w:p>
      <w:pPr>
        <w:spacing w:after="120"/>
        <w:ind w:left="360"/>
        <w:jc w:val="left"/>
      </w:pPr>
      <w:r>
        <w:t xml:space="preserve">• „Risk of Tyndall effect with superficial placement“</w:t>
      </w:r>
    </w:p>
    <w:p>
      <w:pPr>
        <w:pStyle w:val="Heading2"/>
        <w:spacing w:after="180" w:before="360"/>
      </w:pPr>
      <w:r>
        <w:rPr>
          <w:b/>
          <w:bCs/>
        </w:rPr>
        <w:t xml:space="preserve">14.2 Notfallmanagement: Hyaluronidase-Protokoll</w:t>
      </w:r>
    </w:p>
    <w:p>
      <w:pPr>
        <w:spacing w:after="120"/>
        <w:jc w:val="left"/>
      </w:pPr>
      <w:r>
        <w:t xml:space="preserve">Bei Verdacht auf einen Gefaessverschluss durch HA-Filler ist die sofortige Applikation von Hyaluronidase die wichtigste Notfallmassnahme. Die folgenden Protokollschritte sollten in jeder Praxis, die Filler-Injektionen durchfuehrt, als Standard Operating Procedure (SOP) vorliegen:</w:t>
      </w:r>
    </w:p>
    <w:p>
      <w:pPr>
        <w:pStyle w:val="Heading3"/>
        <w:spacing w:after="120" w:before="240"/>
      </w:pPr>
      <w:r>
        <w:rPr>
          <w:b/>
          <w:bCs/>
        </w:rPr>
        <w:t xml:space="preserve">14.2.1 Sofortmassnahmen bei Gefaessverschluss</w:t>
      </w:r>
    </w:p>
    <w:p>
      <w:pPr>
        <w:spacing w:after="120"/>
        <w:jc w:val="left"/>
      </w:pPr>
      <w:r>
        <w:rPr>
          <w:b/>
          <w:bCs/>
        </w:rPr>
        <w:t xml:space="preserve">Warnzeichen erkennen:</w:t>
      </w:r>
    </w:p>
    <w:p>
      <w:pPr>
        <w:spacing w:after="120"/>
        <w:ind w:left="360"/>
        <w:jc w:val="left"/>
      </w:pPr>
      <w:r>
        <w:t xml:space="preserve">• Akute Weissfaerbung (Blanching) der Haut im Injektionsgebiet</w:t>
      </w:r>
    </w:p>
    <w:p>
      <w:pPr>
        <w:spacing w:after="120"/>
        <w:ind w:left="360"/>
        <w:jc w:val="left"/>
      </w:pPr>
      <w:r>
        <w:t xml:space="preserve">• Livide Verfaerbung (reticulaere Livedo) — netzfoermige blau-violette Zeichnung</w:t>
      </w:r>
    </w:p>
    <w:p>
      <w:pPr>
        <w:spacing w:after="120"/>
        <w:ind w:left="360"/>
        <w:jc w:val="left"/>
      </w:pPr>
      <w:r>
        <w:t xml:space="preserve">• Uebermaessiger Schmerz (disproportional zur Injektionsmenge)</w:t>
      </w:r>
    </w:p>
    <w:p>
      <w:pPr>
        <w:spacing w:after="120"/>
        <w:ind w:left="360"/>
        <w:jc w:val="left"/>
      </w:pPr>
      <w:r>
        <w:t xml:space="preserve">• Visusstorungen (Sehverlust, Gesichtsfeldausfall) — SOFORTIGE Notfallmassnahme!</w:t>
      </w:r>
    </w:p>
    <w:p>
      <w:pPr>
        <w:spacing w:after="120"/>
        <w:jc w:val="left"/>
      </w:pPr>
      <w:r>
        <w:rPr>
          <w:b/>
          <w:bCs/>
        </w:rPr>
        <w:t xml:space="preserve">Protokoll:</w:t>
      </w:r>
    </w:p>
    <w:p>
      <w:pPr>
        <w:spacing w:after="120"/>
        <w:ind w:left="360"/>
        <w:jc w:val="left"/>
      </w:pPr>
      <w:r>
        <w:t xml:space="preserve">1. Injektion SOFORT stoppen.</w:t>
      </w:r>
    </w:p>
    <w:p>
      <w:pPr>
        <w:spacing w:after="120"/>
        <w:ind w:left="360"/>
        <w:jc w:val="left"/>
      </w:pPr>
      <w:r>
        <w:t xml:space="preserve">2. Hyaluronidase vorbereiten: 150–300 IE (je nach Schwere) in NaCl 0,9 % aufloesen.</w:t>
      </w:r>
    </w:p>
    <w:p>
      <w:pPr>
        <w:spacing w:after="120"/>
        <w:ind w:left="360"/>
        <w:jc w:val="left"/>
      </w:pPr>
      <w:r>
        <w:t xml:space="preserve">3. Flaechendeckende Infiltration der gesamten betroffenen Region mit Hyaluronidase (nicht punktuell!).</w:t>
      </w:r>
    </w:p>
    <w:p>
      <w:pPr>
        <w:spacing w:after="120"/>
        <w:ind w:left="360"/>
        <w:jc w:val="left"/>
      </w:pPr>
      <w:r>
        <w:t xml:space="preserve">4. Warme Kompressen auf die betroffene Region (Vasodilatation).</w:t>
      </w:r>
    </w:p>
    <w:p>
      <w:pPr>
        <w:spacing w:after="120"/>
        <w:ind w:left="360"/>
        <w:jc w:val="left"/>
      </w:pPr>
      <w:r>
        <w:t xml:space="preserve">5. Nitroglycerin-Paste 2 % topisch auf das betroffene Areal (zusaetzliche Vasodilatation).</w:t>
      </w:r>
    </w:p>
    <w:p>
      <w:pPr>
        <w:spacing w:after="120"/>
        <w:ind w:left="360"/>
        <w:jc w:val="left"/>
      </w:pPr>
      <w:r>
        <w:t xml:space="preserve">6. Bei Visusstoerungen: Sofortige Einweisung in eine ophthalmologische Notfalleinheit; retrobulbaere Hyaluronidase-Injektion kann erwaegt werden (Evidenzlage begrenzt).</w:t>
      </w:r>
    </w:p>
    <w:p>
      <w:pPr>
        <w:spacing w:after="120"/>
        <w:ind w:left="360"/>
        <w:jc w:val="left"/>
      </w:pPr>
      <w:r>
        <w:t xml:space="preserve">7. Dokumentation: Zeitpunkt des Ereignisses, injiziertes Produkt, Menge, Lokalisation, Hyaluronidase-Dosis und klinischer Verlauf.</w:t>
      </w:r>
    </w:p>
    <w:p>
      <w:pPr>
        <w:spacing w:after="120"/>
        <w:ind w:left="360"/>
        <w:jc w:val="left"/>
      </w:pPr>
      <w:r>
        <w:t xml:space="preserve">8. Nachkontrolle nach 30–60 Minuten; bei ausbleibender Besserung erneute Hyaluronidase-Gabe.</w:t>
      </w:r>
    </w:p>
    <w:p>
      <w:pPr>
        <w:pStyle w:val="Heading3"/>
        <w:spacing w:after="120" w:before="240"/>
      </w:pPr>
      <w:r>
        <w:rPr>
          <w:b/>
          <w:bCs/>
        </w:rPr>
        <w:t xml:space="preserve">14.2.2 Limitationen bei Nicht-HA-Fillern</w:t>
      </w:r>
    </w:p>
    <w:p>
      <w:pPr>
        <w:spacing w:after="120"/>
        <w:jc w:val="left"/>
      </w:pPr>
      <w:r>
        <w:t xml:space="preserve">Hyaluronidase loest ausschliesslich Hyaluronsäure-basierte Filler auf. Bei Komplikationen mit CaHA (Radiesse) oder PLLA (Sculptra) steht kein spezifisches Antidot zur Verfuegung. Dies unterstreicht die Notwendigkeit besonderer Vorsicht bei der Anwendung von Nicht-HA-Fillern in vaskulaeren Risikozonen. Die Produktdatenbank (Kapitel 11) schliesst daher Nicht-HA-Produkte fuer bestimmte Hochrisiko-Zonen (insbesondere Pf1, Tt1) aus.</w:t>
      </w:r>
    </w:p>
    <w:p>
      <w:pPr>
        <w:pStyle w:val="Heading2"/>
        <w:spacing w:after="180" w:before="360"/>
      </w:pPr>
      <w:r>
        <w:rPr>
          <w:b/>
          <w:bCs/>
        </w:rPr>
        <w:t xml:space="preserve">14.3 Extreme Asymmetrie als Pathologie-Indikator</w:t>
      </w:r>
    </w:p>
    <w:p>
      <w:pPr>
        <w:spacing w:after="120"/>
        <w:jc w:val="left"/>
      </w:pPr>
      <w:r>
        <w:t xml:space="preserve">Eine Asymmetrie des Gesichts ist bis zu einem gewissen Grad physiologisch. Die bilaterale Symmetrieanalyse (vgl. Kapitel 4) erfasst Abweichungen systematisch. Wenn jedoch eine Zone sowohl einen hohen Severity-Score als auch ausgepragte Asymmetrie-Befunde aufweist, kann dies auf eine zugrunde liegende Pathologie hindeuten.</w:t>
      </w:r>
    </w:p>
    <w:p>
      <w:pPr>
        <w:pStyle w:val="Heading3"/>
        <w:spacing w:after="120" w:before="240"/>
      </w:pPr>
      <w:r>
        <w:rPr>
          <w:b/>
          <w:bCs/>
        </w:rPr>
        <w:t xml:space="preserve">14.3.1 Schwellenwert und Logik</w:t>
      </w:r>
    </w:p>
    <w:p>
      <w:pPr>
        <w:spacing w:after="120"/>
        <w:jc w:val="left"/>
      </w:pPr>
      <w:r>
        <w:rPr>
          <w:b/>
          <w:bCs/>
        </w:rPr>
        <w:t xml:space="preserve">Der Schwellenwert fuer die Extreme-Asymmetrie-Warnung liegt bei:</w:t>
      </w:r>
    </w:p>
    <w:p>
      <w:pPr>
        <w:spacing w:after="120"/>
        <w:jc w:val="left"/>
      </w:pPr>
      <w:r>
        <w:rPr>
          <w:b/>
          <w:bCs/>
        </w:rPr>
        <w:t xml:space="preserve">EXTREME_ASYMMETRY_THRESHOLD = 8,0 (Severity-Score)</w:t>
      </w:r>
    </w:p>
    <w:p>
      <w:pPr>
        <w:spacing w:after="120"/>
        <w:jc w:val="left"/>
      </w:pPr>
      <w:r>
        <w:t xml:space="preserve">Logik: WENN severity ≥ 8,0 UND findings enthaelt „asymmetry“ DANN erzeuge REFERRAL-Warnung.</w:t>
      </w:r>
    </w:p>
    <w:p>
      <w:pPr>
        <w:spacing w:after="120"/>
        <w:jc w:val="left"/>
      </w:pPr>
      <w:r>
        <w:t xml:space="preserve">Das System prueft nicht nur den Severity-Score, sondern validiert zusaetzlich, ob die Befunde der Zone tatsaechlich Asymmetrie-bezogene Beschreibungen enthalten. Ein hoher Severity-Score allein (z. B. durch extremen Volumenverlust) loest diese Warnung nicht aus.</w:t>
      </w:r>
    </w:p>
    <w:p>
      <w:pPr>
        <w:pStyle w:val="Heading3"/>
        <w:spacing w:after="120" w:before="240"/>
      </w:pPr>
      <w:r>
        <w:rPr>
          <w:b/>
          <w:bCs/>
        </w:rPr>
        <w:t xml:space="preserve">14.3.2 Moegliche Pathologien</w:t>
      </w:r>
    </w:p>
    <w:p>
      <w:pPr>
        <w:spacing w:after="120"/>
        <w:jc w:val="left"/>
      </w:pPr>
      <w:r>
        <w:t xml:space="preserve">Bei einer extremen Asymmetrie-Warnung sollten folgende Differentialdiagnosen abgeklaert werden:</w:t>
      </w:r>
    </w:p>
    <w:p>
      <w:pPr>
        <w:spacing w:after="120"/>
        <w:ind w:left="360"/>
        <w:jc w:val="left"/>
      </w:pPr>
      <w:r>
        <w:t xml:space="preserve">• Fazialisparese (periphere oder zentrale Laesion des N. facialis)</w:t>
      </w:r>
    </w:p>
    <w:p>
      <w:pPr>
        <w:spacing w:after="120"/>
        <w:ind w:left="360"/>
        <w:jc w:val="left"/>
      </w:pPr>
      <w:r>
        <w:t xml:space="preserve">• Skelettale Asymmetrie (kondylaere Hyperplasie, Hemimandibularis-Elongation)</w:t>
      </w:r>
    </w:p>
    <w:p>
      <w:pPr>
        <w:spacing w:after="120"/>
        <w:ind w:left="360"/>
        <w:jc w:val="left"/>
      </w:pPr>
      <w:r>
        <w:t xml:space="preserve">• Vorangegangenes Trauma (Kieferfrakturen, Jochbeinfrakturen)</w:t>
      </w:r>
    </w:p>
    <w:p>
      <w:pPr>
        <w:spacing w:after="120"/>
        <w:ind w:left="360"/>
        <w:jc w:val="left"/>
      </w:pPr>
      <w:r>
        <w:t xml:space="preserve">• Tumore (Parotistumoren, Weichteiltumoren)</w:t>
      </w:r>
    </w:p>
    <w:p>
      <w:pPr>
        <w:spacing w:after="120"/>
        <w:ind w:left="360"/>
        <w:jc w:val="left"/>
      </w:pPr>
      <w:r>
        <w:t xml:space="preserve">• Hemifaziale Atrophie (Parry-Romberg-Syndrom)</w:t>
      </w:r>
    </w:p>
    <w:p>
      <w:pPr>
        <w:spacing w:after="120"/>
        <w:ind w:left="360"/>
        <w:jc w:val="left"/>
      </w:pPr>
      <w:r>
        <w:t xml:space="preserve">• Iatroge Asymmetrie durch fruehere Behandlungen</w:t>
      </w:r>
    </w:p>
    <w:p>
      <w:pPr>
        <w:spacing w:after="120"/>
        <w:jc w:val="left"/>
      </w:pPr>
      <w:r>
        <w:rPr>
          <w:i/>
          <w:iCs/>
        </w:rPr>
        <w:t xml:space="preserve">Empfehlung des Systems: „Consider specialist referral before aesthetic treatment. Rule out pathological causes of asymmetry.“</w:t>
      </w:r>
    </w:p>
    <w:p>
      <w:pPr>
        <w:pStyle w:val="Heading2"/>
        <w:spacing w:after="180" w:before="360"/>
      </w:pPr>
      <w:r>
        <w:rPr>
          <w:b/>
          <w:bCs/>
        </w:rPr>
        <w:t xml:space="preserve">14.4 Glabella-Forehead-Abhaengigkeit (Ptosis-Risiko)</w:t>
      </w:r>
    </w:p>
    <w:p>
      <w:pPr>
        <w:spacing w:after="120"/>
        <w:jc w:val="left"/>
      </w:pPr>
      <w:r>
        <w:t xml:space="preserve">Eine der haeufigsten Komplikationen der Neurotoxin-Behandlung ist die Brauenptosis (Herabhgaengen der Braue). Sie entsteht, wenn der M. frontalis (Stirnmuskel) durch Botulinumtoxin gelaehmt wird, ohne dass gleichzeitig die Glabella-Muskulatur (M. corrugator supercilii, M. procerus) behandelt wird.</w:t>
      </w:r>
    </w:p>
    <w:p>
      <w:pPr>
        <w:pStyle w:val="Heading3"/>
        <w:spacing w:after="120" w:before="240"/>
      </w:pPr>
      <w:r>
        <w:rPr>
          <w:b/>
          <w:bCs/>
        </w:rPr>
        <w:t xml:space="preserve">14.4.1 Mechanismus</w:t>
      </w:r>
    </w:p>
    <w:p>
      <w:pPr>
        <w:spacing w:after="120"/>
        <w:jc w:val="left"/>
      </w:pPr>
      <w:r>
        <w:t xml:space="preserve">Der M. frontalis ist der einzige Brauenheber. Die Glabella-Muskeln (Corrugator, Procerus) sind Brauensenker. Im physiologischen Gleichgewicht halten sich Heber und Senker die Waage. Wird nur der Heber (Frontalis) durch Neurotoxin gelaehmt, ueberwiegen die Senker und die Braue sinkt ab — insbesondere lateral, wo der Frontalis den groessten Hebeeffekt hat.</w:t>
      </w:r>
    </w:p>
    <w:p>
      <w:pPr>
        <w:pStyle w:val="Heading3"/>
        <w:spacing w:after="120" w:before="240"/>
      </w:pPr>
      <w:r>
        <w:rPr>
          <w:b/>
          <w:bCs/>
        </w:rPr>
        <w:t xml:space="preserve">14.4.2 Schwellenwert und Logik</w:t>
      </w:r>
    </w:p>
    <w:p>
      <w:pPr>
        <w:spacing w:after="120"/>
        <w:jc w:val="left"/>
      </w:pPr>
      <w:r>
        <w:rPr>
          <w:b/>
          <w:bCs/>
        </w:rPr>
        <w:t xml:space="preserve">Das System prueft folgende Bedingung:</w:t>
      </w:r>
    </w:p>
    <w:p>
      <w:pPr>
        <w:spacing w:after="120"/>
        <w:jc w:val="left"/>
      </w:pPr>
      <w:r>
        <w:t xml:space="preserve">WENN Zone Fo1 (Stirn) severity ≥ 3,0 UND Zone Bw2 (Glabella) severity &lt; 1,0 DANN erzeuge WARNING.</w:t>
      </w:r>
    </w:p>
    <w:p>
      <w:pPr>
        <w:spacing w:after="120"/>
        <w:jc w:val="left"/>
      </w:pPr>
      <w:r>
        <w:t xml:space="preserve">Der Schwellenwert fo1.severity ≥ 3,0 stellt sicher, dass die Stirn einen moderaten Behandlungsbedarf aufweist (vgl. Kapitel 9, Severity-Interpretation). Der niedrige Schwellenwert fuer Bw2 (&lt; 1,0) bedeutet, dass die Glabella praktisch keinen eigenen Behandlungsbedarf zeigt — sie wuerde also im Behandlungsplan nicht enthalten sein, was zum Ptosis-Risiko fuehrt.</w:t>
      </w:r>
    </w:p>
    <w:p>
      <w:pPr>
        <w:pStyle w:val="Heading3"/>
        <w:spacing w:after="120" w:before="240"/>
      </w:pPr>
      <w:r>
        <w:rPr>
          <w:b/>
          <w:bCs/>
        </w:rPr>
        <w:t xml:space="preserve">14.4.3 Empfehlung des Systems</w:t>
      </w:r>
    </w:p>
    <w:p>
      <w:pPr>
        <w:spacing w:after="120"/>
        <w:jc w:val="left"/>
      </w:pPr>
      <w:r>
        <w:t xml:space="preserve">Bei Ausloesung dieser Warnung gibt das System folgende Empfehlung aus:</w:t>
      </w:r>
    </w:p>
    <w:p>
      <w:pPr>
        <w:spacing w:after="120"/>
        <w:jc w:val="left"/>
      </w:pPr>
      <w:r>
        <w:rPr>
          <w:i/>
          <w:iCs/>
        </w:rPr>
        <w:t xml:space="preserve">„Always include glabella treatment when treating forehead. Consider lower forehead doses if brow position is already low.“</w:t>
      </w:r>
    </w:p>
    <w:p>
      <w:pPr>
        <w:spacing w:after="120"/>
        <w:jc w:val="left"/>
      </w:pPr>
      <w:r>
        <w:t xml:space="preserve">Konkret bedeutet dies:</w:t>
      </w:r>
    </w:p>
    <w:p>
      <w:pPr>
        <w:spacing w:after="120"/>
        <w:ind w:left="360"/>
        <w:jc w:val="left"/>
      </w:pPr>
      <w:r>
        <w:t xml:space="preserve">• Bei Stirnbehandlung (Fo1) IMMER auch Glabella (Bw2) mitbehandeln</w:t>
      </w:r>
    </w:p>
    <w:p>
      <w:pPr>
        <w:spacing w:after="120"/>
        <w:ind w:left="360"/>
        <w:jc w:val="left"/>
      </w:pPr>
      <w:r>
        <w:t xml:space="preserve">• Neurotoxin-Dosierung nach Zone (vgl. Kapitel 11, Tabelle 11.2):</w:t>
      </w:r>
    </w:p>
    <w:p>
      <w:pPr>
        <w:spacing w:after="120"/>
        <w:jc w:val="left"/>
      </w:pPr>
      <w:r>
        <w:rPr>
          <w:b/>
          <w:bCs/>
        </w:rPr>
        <w:t xml:space="preserve">Tabelle 14.3: Neurotoxin-Dosierung bei kombinierter Stirn-Glabella-Behandlung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2200"/>
        <w:gridCol w:w="4160"/>
      </w:tblGrid>
      <w:tr>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Muskel</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Dosis (Botox-Aequivalent)</w:t>
            </w:r>
          </w:p>
        </w:tc>
        <w:tc>
          <w:tcPr>
            <w:tcW w:type="dxa" w:w="4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Sicherheitshinweis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corrugator supercilii</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10–25 Units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Ptosis-Risiko bei zu tiefer Injektion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procerus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5–10 Units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Zentrale Injektion auf Processus nasalis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frontalis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10–30 Units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IMMER Glabella mitbehandeln; niedrigere Dosen bei tiefer Brauenposition</w:t>
            </w:r>
          </w:p>
        </w:tc>
      </w:tr>
    </w:tbl>
    <w:p>
      <w:pPr>
        <w:spacing w:after="120"/>
        <w:jc w:val="left"/>
      </w:pPr>
      <w:r>
        <w:t xml:space="preserve">Die Neurotoxin-Indikationen sind in der Produktdatenbank (NEUROTOXIN_INDICATIONS) hinterlegt und umfassen neben Bw2 und Fo1 auch die Lip-Flip-Indikation (Lp1, M. orbicularis oris, 2–6 Units) — vgl. Kapitel 11 fuer Details.</w:t>
      </w:r>
    </w:p>
    <w:p>
      <w:pPr>
        <w:pStyle w:val="Heading2"/>
        <w:spacing w:after="180" w:before="360"/>
      </w:pPr>
      <w:r>
        <w:rPr>
          <w:b/>
          <w:bCs/>
        </w:rPr>
        <w:t xml:space="preserve">14.5 Tear Trough Spezialbehandlung</w:t>
      </w:r>
    </w:p>
    <w:p>
      <w:pPr>
        <w:spacing w:after="120"/>
        <w:jc w:val="left"/>
      </w:pPr>
      <w:r>
        <w:t xml:space="preserve">Die Zone Tt1 (Tear Trough) ist sowohl technisch als auch anatomisch eine der anspruchsvollsten Behandlungsregionen. Das System fuehrt daher einen dedizierten Sicherheitscheck durch, der ueber den allgemeinen vaskulaeren Risikocheck hinausgeht.</w:t>
      </w:r>
    </w:p>
    <w:p>
      <w:pPr>
        <w:pStyle w:val="Heading3"/>
        <w:spacing w:after="120" w:before="240"/>
      </w:pPr>
      <w:r>
        <w:rPr>
          <w:b/>
          <w:bCs/>
        </w:rPr>
        <w:t xml:space="preserve">14.5.1 Tyndall-Effekt</w:t>
      </w:r>
    </w:p>
    <w:p>
      <w:pPr>
        <w:spacing w:after="120"/>
        <w:jc w:val="left"/>
      </w:pPr>
      <w:r>
        <w:t xml:space="preserve">Der Tyndall-Effekt ist eine blaugraue Verfaerbung der Haut, die entsteht, wenn HA-Filler zu oberflaechlich platziert wird. Durch die extrem duenne Haut im Traenentalbereich ist das Risiko hier besonders hoch. Die Verfaerbung kann Monate bis Jahre persistieren und erfordert eine Aufloesung mit Hyaluronidase.</w:t>
      </w:r>
    </w:p>
    <w:p>
      <w:pPr>
        <w:spacing w:after="120"/>
        <w:jc w:val="left"/>
      </w:pPr>
      <w:r>
        <w:t xml:space="preserve">Das System empfiehlt daher fuer Tt1 ausschliesslich HA Soft (Volbella, G’ 98 Pa) in subdermaler Tiefe mit Mikrodroplet- oder Linear-Threading-Technik (vgl. Kapitel 11, Zone Tt1).</w:t>
      </w:r>
    </w:p>
    <w:p>
      <w:pPr>
        <w:pStyle w:val="Heading3"/>
        <w:spacing w:after="120" w:before="240"/>
      </w:pPr>
      <w:r>
        <w:rPr>
          <w:b/>
          <w:bCs/>
        </w:rPr>
        <w:t xml:space="preserve">14.5.2 Konservativer Ansatz und Midface-First-Strategie</w:t>
      </w:r>
    </w:p>
    <w:p>
      <w:pPr>
        <w:spacing w:after="120"/>
        <w:jc w:val="left"/>
      </w:pPr>
      <w:r>
        <w:rPr>
          <w:b/>
          <w:bCs/>
        </w:rPr>
        <w:t xml:space="preserve">Schwellenwert:</w:t>
      </w:r>
    </w:p>
    <w:p>
      <w:pPr>
        <w:spacing w:after="120"/>
        <w:jc w:val="left"/>
      </w:pPr>
      <w:r>
        <w:rPr>
          <w:b/>
          <w:bCs/>
        </w:rPr>
        <w:t xml:space="preserve">WENN Tt1 severity ≥ 6,0 DANN erzeuge CAUTION (Code: TEAR_TROUGH_DEEP).</w:t>
      </w:r>
    </w:p>
    <w:p>
      <w:pPr>
        <w:spacing w:after="120"/>
        <w:jc w:val="left"/>
      </w:pPr>
      <w:r>
        <w:t xml:space="preserve">Ein Severity-Score ≥ 6,0 deutet auf eine tiefe Traenentaldeformitaet hin. In diesem Fall gibt das System folgende Empfehlung:</w:t>
      </w:r>
    </w:p>
    <w:p>
      <w:pPr>
        <w:spacing w:after="120"/>
        <w:jc w:val="left"/>
      </w:pPr>
      <w:r>
        <w:rPr>
          <w:i/>
          <w:iCs/>
        </w:rPr>
        <w:t xml:space="preserve">„Consider addressing midface volume (Ck2/Ck3) first — this often reduces tear trough depth significantly. If direct treatment needed, use blunt cannula and conservative volumes (max 0.1-0.2ml per side per session).“</w:t>
      </w:r>
    </w:p>
    <w:p>
      <w:pPr>
        <w:spacing w:after="120"/>
        <w:jc w:val="left"/>
      </w:pPr>
      <w:r>
        <w:t xml:space="preserve">Die Midface-First-Strategie basiert auf dem anatomischen Zusammenhang: Ein Volumenverlust im Mittelgesicht (Ck2: Wangenhoehe, Ck3: Mittelwange) fuehrt zu einem Absinken des Weichgewebes, das die Traenentaltiefe sekundaer verstaerkt. In vielen Faellen reduziert eine Volumenauffuellung in Ck2/Ck3 die Traenentaltiefe um 30–50 %, sodass eine direkte Tt1-Behandlung entweder gar nicht mehr oder nur mit minimalen Volumina noetig ist.</w:t>
      </w:r>
    </w:p>
    <w:p>
      <w:pPr>
        <w:pStyle w:val="Heading3"/>
        <w:spacing w:after="120" w:before="240"/>
      </w:pPr>
      <w:r>
        <w:rPr>
          <w:b/>
          <w:bCs/>
        </w:rPr>
        <w:t xml:space="preserve">14.5.3 Volumen- und Technikempfehlungen fuer Tt1</w:t>
      </w:r>
    </w:p>
    <w:p>
      <w:pPr>
        <w:spacing w:after="120"/>
        <w:jc w:val="left"/>
      </w:pPr>
      <w:r>
        <w:t xml:space="preserve">Gemaess der Produktdatenbank (ZONE_RECOMMENDATIONS) gilt fuer Zone Tt1:</w:t>
      </w:r>
    </w:p>
    <w:p>
      <w:pPr>
        <w:spacing w:after="120"/>
        <w:ind w:left="360"/>
        <w:jc w:val="left"/>
      </w:pPr>
      <w:r>
        <w:t xml:space="preserve">• Produkt: Juvederm Volbella (HA Soft, G’ 98 Pa)</w:t>
      </w:r>
    </w:p>
    <w:p>
      <w:pPr>
        <w:spacing w:after="120"/>
        <w:ind w:left="360"/>
        <w:jc w:val="left"/>
      </w:pPr>
      <w:r>
        <w:t xml:space="preserve">• Technik: Mikrodroplet oder Linear Threading</w:t>
      </w:r>
    </w:p>
    <w:p>
      <w:pPr>
        <w:spacing w:after="120"/>
        <w:ind w:left="360"/>
        <w:jc w:val="left"/>
      </w:pPr>
      <w:r>
        <w:t xml:space="preserve">• Tiefe: Subdermal</w:t>
      </w:r>
    </w:p>
    <w:p>
      <w:pPr>
        <w:spacing w:after="120"/>
        <w:ind w:left="360"/>
        <w:jc w:val="left"/>
      </w:pPr>
      <w:r>
        <w:t xml:space="preserve">• Volumen: 0,1–0,3 ml pro Seite (MAXIMAL)</w:t>
      </w:r>
    </w:p>
    <w:p>
      <w:pPr>
        <w:spacing w:after="120"/>
        <w:ind w:left="360"/>
        <w:jc w:val="left"/>
      </w:pPr>
      <w:r>
        <w:t xml:space="preserve">• Kontrolle: Wiedervorstellung nach 2 Wochen zur Beurteilung des Ergebnisses</w:t>
      </w:r>
    </w:p>
    <w:p>
      <w:pPr>
        <w:spacing w:after="120"/>
        <w:jc w:val="left"/>
      </w:pPr>
      <w:r>
        <w:t xml:space="preserve">Die strikte Mengenbegrenzung ist essenziell: Ueberkorrektur im Traenentalbereich fuehrt zu Schwellungen, lymphatischer Obstruktion und einem unnatuerlichen Erscheinungsbild, das schwer zu korrigieren ist.</w:t>
      </w:r>
    </w:p>
    <w:p>
      <w:pPr>
        <w:pStyle w:val="Heading2"/>
        <w:spacing w:after="180" w:before="360"/>
      </w:pPr>
      <w:r>
        <w:rPr>
          <w:b/>
          <w:bCs/>
        </w:rPr>
        <w:t xml:space="preserve">14.6 Ueberbehandlungsrisiko (Overtreatment Risk)</w:t>
      </w:r>
    </w:p>
    <w:p>
      <w:pPr>
        <w:spacing w:after="120"/>
        <w:jc w:val="left"/>
      </w:pPr>
      <w:r>
        <w:t xml:space="preserve">Wenn der Behandlungsplan zu viele Zonen gleichzeitig adressiert, steigt das Risiko eines unnatuerlichen Gesamterscheinungsbilds („Overfilled Look“). Das System ueberwacht die Summe aller Severity-Scores als Globalindikator.</w:t>
      </w:r>
    </w:p>
    <w:p>
      <w:pPr>
        <w:pStyle w:val="Heading3"/>
        <w:spacing w:after="120" w:before="240"/>
      </w:pPr>
      <w:r>
        <w:rPr>
          <w:b/>
          <w:bCs/>
        </w:rPr>
        <w:t xml:space="preserve">14.6.1 Schwellenwert und Logik</w:t>
      </w:r>
    </w:p>
    <w:p>
      <w:pPr>
        <w:spacing w:after="120"/>
        <w:jc w:val="left"/>
      </w:pPr>
      <w:r>
        <w:rPr>
          <w:b/>
          <w:bCs/>
        </w:rPr>
        <w:t xml:space="preserve">EXCESSIVE_TOTAL_SEVERITY = 60,0</w:t>
      </w:r>
    </w:p>
    <w:p>
      <w:pPr>
        <w:spacing w:after="120"/>
        <w:jc w:val="left"/>
      </w:pPr>
      <w:r>
        <w:t xml:space="preserve">Berechnung: Total Severity = Summe(severity aller Zonen)</w:t>
      </w:r>
    </w:p>
    <w:p>
      <w:pPr>
        <w:spacing w:after="120"/>
        <w:jc w:val="left"/>
      </w:pPr>
      <w:r>
        <w:t xml:space="preserve">WENN Total Severity &gt; 60 DANN erzeuge WARNING (Code: OVERTREATMENT_RISK).</w:t>
      </w:r>
    </w:p>
    <w:p>
      <w:pPr>
        <w:spacing w:after="120"/>
        <w:jc w:val="left"/>
      </w:pPr>
      <w:r>
        <w:t xml:space="preserve">Die Anzahl der behandlungsbeduerftigen Zonen (severity ≥ 1,0) wird zusaetzlich im Warntext angegeben, um dem Behandler einen Ueberblick zu geben.</w:t>
      </w:r>
    </w:p>
    <w:p>
      <w:pPr>
        <w:pStyle w:val="Heading3"/>
        <w:spacing w:after="120" w:before="240"/>
      </w:pPr>
      <w:r>
        <w:rPr>
          <w:b/>
          <w:bCs/>
        </w:rPr>
        <w:t xml:space="preserve">14.6.2 Empfehlung bei Ueberbehandlungsrisiko</w:t>
      </w:r>
    </w:p>
    <w:p>
      <w:pPr>
        <w:spacing w:after="120"/>
        <w:jc w:val="left"/>
      </w:pPr>
      <w:r>
        <w:t xml:space="preserve">Bei Ausloesung dieser Warnung empfiehlt das System:</w:t>
      </w:r>
    </w:p>
    <w:p>
      <w:pPr>
        <w:spacing w:after="120"/>
        <w:jc w:val="left"/>
      </w:pPr>
      <w:r>
        <w:rPr>
          <w:i/>
          <w:iCs/>
        </w:rPr>
        <w:t xml:space="preserve">„Prioritize structural zones in session 1. Reassess after initial treatment before addressing additional zones. Consider a staged approach over 3-4 sessions.“</w:t>
      </w:r>
    </w:p>
    <w:p>
      <w:pPr>
        <w:spacing w:after="120"/>
        <w:jc w:val="left"/>
      </w:pPr>
      <w:r>
        <w:t xml:space="preserve">Konkret bedeutet dies eine Behandlung in Phasen gemaess dem Priorisierungssystem (STRUCTURAL_PRIORITY, vgl. Kapitel 13):</w:t>
      </w:r>
    </w:p>
    <w:p>
      <w:pPr>
        <w:spacing w:after="120"/>
        <w:jc w:val="left"/>
      </w:pPr>
      <w:r>
        <w:rPr>
          <w:b/>
          <w:bCs/>
        </w:rPr>
        <w:t xml:space="preserve">Tabelle 14.4: Empfohlene Behandlungsphasen bei hoher Gesamt-Severity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600"/>
        <w:gridCol w:w="2760"/>
      </w:tblGrid>
      <w:tr>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Prioritaet</w:t>
            </w:r>
          </w:p>
        </w:tc>
        <w:tc>
          <w:tcPr>
            <w:tcW w:type="dxa" w:w="3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Zonen (Beispiele)</w:t>
            </w:r>
          </w:p>
        </w:tc>
        <w:tc>
          <w:tcPr>
            <w:tcW w:type="dxa" w:w="2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Zeitpunkt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Basis (P1)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 Ck2, Ch1 (Skelettale Grundlage)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Kontur (P2)</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 Jw1, Pf3 (Kieferkontur, Kinn-Hals)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2 (nach 4–6 Wochen)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Volumen (P3)</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 Ck3, Tt1, Pf1 (Volumendefizite)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3 (nach 4–6 Wochen)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Verfeinerung (P4–5)</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 Mn1, Lp1, Lp2, Fo1, Bw2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4 (nach 4–6 Wochen)</w:t>
            </w:r>
          </w:p>
        </w:tc>
      </w:tr>
    </w:tbl>
    <w:p>
      <w:pPr>
        <w:spacing w:after="120"/>
        <w:jc w:val="left"/>
      </w:pPr>
      <w:r>
        <w:rPr>
          <w:b/>
          <w:bCs/>
        </w:rPr>
        <w:t xml:space="preserve">Vorteile des gestaffelten Ansatzes:</w:t>
      </w:r>
    </w:p>
    <w:p>
      <w:pPr>
        <w:spacing w:after="120"/>
        <w:ind w:left="360"/>
        <w:jc w:val="left"/>
      </w:pPr>
      <w:r>
        <w:t xml:space="preserve">• Reduziertes Risiko: Weniger Filler-Volumen pro Sitzung bedeutet weniger vaskulaere Komplikationsgefahr</w:t>
      </w:r>
    </w:p>
    <w:p>
      <w:pPr>
        <w:spacing w:after="120"/>
        <w:ind w:left="360"/>
        <w:jc w:val="left"/>
      </w:pPr>
      <w:r>
        <w:t xml:space="preserve">• Sekundaereffekte nutzen: Strukturelle Behandlungen (Ck2, Ch1) verbessern sekundaer auch umliegende Zonen (Ns1, Tt1, CMA)</w:t>
      </w:r>
    </w:p>
    <w:p>
      <w:pPr>
        <w:spacing w:after="120"/>
        <w:ind w:left="360"/>
        <w:jc w:val="left"/>
      </w:pPr>
      <w:r>
        <w:t xml:space="preserve">• Natuerliches Ergebnis: Der Patient und die Umgebung gewoehnen sich graduell an die Veraenderungen</w:t>
      </w:r>
    </w:p>
    <w:p>
      <w:pPr>
        <w:spacing w:after="120"/>
        <w:ind w:left="360"/>
        <w:jc w:val="left"/>
      </w:pPr>
      <w:r>
        <w:t xml:space="preserve">• Korrekturmoeglichkeit: Zwischen den Sitzungen kann das Ergebnis evaluiert und der Plan angepasst werden</w:t>
      </w:r>
    </w:p>
    <w:p>
      <w:pPr>
        <w:pStyle w:val="Heading2"/>
        <w:spacing w:after="180" w:before="360"/>
      </w:pPr>
      <w:r>
        <w:rPr>
          <w:b/>
          <w:bCs/>
        </w:rPr>
        <w:t xml:space="preserve">14.7 Pathologische Severity (Chirurgische Indikation)</w:t>
      </w:r>
    </w:p>
    <w:p>
      <w:pPr>
        <w:spacing w:after="120"/>
        <w:jc w:val="left"/>
      </w:pPr>
      <w:r>
        <w:t xml:space="preserve">Wenn einzelne Zonen extrem hohe Severity-Scores aufweisen, kann dies auf Deformitaeten hindeuten, die ueber den Bereich der aesthetischen Medizin hinausgehen und eine chirurgische Intervention erfordern.</w:t>
      </w:r>
    </w:p>
    <w:p>
      <w:pPr>
        <w:pStyle w:val="Heading3"/>
        <w:spacing w:after="120" w:before="240"/>
      </w:pPr>
      <w:r>
        <w:rPr>
          <w:b/>
          <w:bCs/>
        </w:rPr>
        <w:t xml:space="preserve">14.7.1 Schwellenwert</w:t>
      </w:r>
    </w:p>
    <w:p>
      <w:pPr>
        <w:spacing w:after="120"/>
        <w:jc w:val="left"/>
      </w:pPr>
      <w:r>
        <w:rPr>
          <w:b/>
          <w:bCs/>
        </w:rPr>
        <w:t xml:space="preserve">PATHOLOGY_SEVERITY_THRESHOLD = 9,0</w:t>
      </w:r>
    </w:p>
    <w:p>
      <w:pPr>
        <w:spacing w:after="120"/>
        <w:jc w:val="left"/>
      </w:pPr>
      <w:r>
        <w:t xml:space="preserve">WENN severity ≥ 9,0 DANN erzeuge CAUTION (Code: HIGH_SEVERITY).</w:t>
      </w:r>
    </w:p>
    <w:p>
      <w:pPr>
        <w:spacing w:after="120"/>
        <w:jc w:val="left"/>
      </w:pPr>
      <w:r>
        <w:t xml:space="preserve">Ein Severity-Score von 9 oder hoeher bedeutet, dass die Messwerte extrem stark von den Normwerten abweichen. In solchen Faellen ist es wahrscheinlich, dass eine rein aesthetische Filler- oder Neurotoxin-Behandlung kein befriedigendes Ergebnis liefern kann.</w:t>
      </w:r>
    </w:p>
    <w:p>
      <w:pPr>
        <w:pStyle w:val="Heading3"/>
        <w:spacing w:after="120" w:before="240"/>
      </w:pPr>
      <w:r>
        <w:rPr>
          <w:b/>
          <w:bCs/>
        </w:rPr>
        <w:t xml:space="preserve">14.7.2 Empfehlung des Systems</w:t>
      </w:r>
    </w:p>
    <w:p>
      <w:pPr>
        <w:spacing w:after="120"/>
        <w:jc w:val="left"/>
      </w:pPr>
      <w:r>
        <w:rPr>
          <w:i/>
          <w:iCs/>
        </w:rPr>
        <w:t xml:space="preserve">„Verify measurements manually. Consider whether aesthetic treatment alone is appropriate or if surgical/orthodontic intervention is indicated.“</w:t>
      </w:r>
    </w:p>
    <w:p>
      <w:pPr>
        <w:spacing w:after="120"/>
        <w:jc w:val="left"/>
      </w:pPr>
      <w:r>
        <w:t xml:space="preserve">Beispiele fuer chirurgische Indikationen bei hoher Severity:</w:t>
      </w:r>
    </w:p>
    <w:p>
      <w:pPr>
        <w:spacing w:after="120"/>
        <w:jc w:val="left"/>
      </w:pPr>
      <w:r>
        <w:rPr>
          <w:b/>
          <w:bCs/>
        </w:rPr>
        <w:t xml:space="preserve">Tabelle 14.5: Chirurgische Indikationen bei pathologischer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560"/>
      </w:tblGrid>
      <w:tr>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 ≥ 9</w:t>
            </w:r>
          </w:p>
        </w:tc>
        <w:tc>
          <w:tcPr>
            <w:tcW w:type="dxa" w:w="5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Moegliche chirurgische Indikation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Kinnretrusion/-protrusion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Genioplastik (Gleitostectomie), Kinnimplantat, orthognathe Chirurgie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Kieferasymmetrie/-deformitaet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Orthognathe Chirurgie, Mandibularresektion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Nasendeformitaet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Chirurgische Rhinoplastik (funktionell/aesthetisch)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 stumpfer CMA</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Submentale Liposuktion, Platysma-Straffung, Facelift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Traenentaldeformitaet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Blepharoplastik (untere Lidstraffung), Midface-Lift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Brauenptosis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Brauenanhebung (Browlift), Blepharoplastik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Nasolabialfalte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Facelift, SMAS-Plication</w:t>
            </w:r>
          </w:p>
        </w:tc>
      </w:tr>
    </w:tbl>
    <w:p>
      <w:pPr>
        <w:spacing w:after="120"/>
        <w:jc w:val="left"/>
      </w:pPr>
      <w:r>
        <w:t xml:space="preserve">Wichtig: Das System verweist in diesem Fall NICHT auf eine Kontraindikation der aesthetischen Behandlung, sondern empfiehlt lediglich eine manuelle Verifizierung und die Pruefung, ob eine chirurgische Alternative besser geeignet waere. Der Behandler trifft die endgueltige Entscheidung.</w:t>
      </w:r>
    </w:p>
    <w:p>
      <w:pPr>
        <w:pStyle w:val="Heading2"/>
        <w:spacing w:after="180" w:before="360"/>
      </w:pPr>
      <w:r>
        <w:rPr>
          <w:b/>
          <w:bCs/>
        </w:rPr>
        <w:t xml:space="preserve">14.8 Zusammenfassung der Sicherheitschecks</w:t>
      </w:r>
    </w:p>
    <w:p>
      <w:pPr>
        <w:spacing w:after="120"/>
        <w:jc w:val="left"/>
      </w:pPr>
      <w:r>
        <w:t xml:space="preserve">Die folgende Tabelle fasst alle sechs automatisierten Sicherheitschecks zusammen:</w:t>
      </w:r>
    </w:p>
    <w:p>
      <w:pPr>
        <w:spacing w:after="120"/>
        <w:jc w:val="left"/>
      </w:pPr>
      <w:r>
        <w:rPr>
          <w:b/>
          <w:bCs/>
        </w:rPr>
        <w:t xml:space="preserve">Tabelle 14.6: Uebersicht der automatisierten Sicherheitschecks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800"/>
        <w:gridCol w:w="1700"/>
        <w:gridCol w:w="2760"/>
      </w:tblGrid>
      <w:tr>
        <w:tc>
          <w:tcPr>
            <w:tcW w:type="dxa" w:w="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Nr.</w:t>
            </w:r>
          </w:p>
        </w:tc>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Check</w:t>
            </w:r>
          </w:p>
        </w:tc>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1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Schweregrad</w:t>
            </w:r>
          </w:p>
        </w:tc>
        <w:tc>
          <w:tcPr>
            <w:tcW w:type="dxa" w:w="2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Code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Asymmetrie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 ≥ 8,0 + Asymmetrie-Befund</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REFERRAL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EXTREME_ASYMMETRY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Pathologische Severity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 ≥ 9,0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HIGH_SEVERITY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Vaskulaeres Risiko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Hochrisiko-Zone + severity ≥ 5,0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VASCULAR_RISK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 Spezial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 severity ≥ 6,0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TEAR_TROUGH_DEEP</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Ueberbehandlungsrisiko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Severity &gt; 60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WARNING</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OVERTREATMENT_RISK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Stirn ohne Glabella</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 ≥ 3,0 + Bw2 &lt; 1,0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WARNING</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FOREHEAD_WITHOUT_GLABELLA</w:t>
            </w:r>
          </w:p>
        </w:tc>
      </w:tr>
    </w:tbl>
    <w:p>
      <w:pPr>
        <w:spacing w:after="120"/>
        <w:jc w:val="left"/>
      </w:pPr>
      <w:r>
        <w:t xml:space="preserve">Verarbeitungsreihenfolge: Alle sechs Checks werden parallel auf die Zonenergebnisse angewendet. Die resultierenden Kontraindikationen werden anschliessend nach Schweregrad sortiert (CONTRAINDICATED &gt; REFERRAL &gt; CAUTION &gt; WARNING) und dem Behandlungsplan vorangestellt.</w:t>
      </w:r>
    </w:p>
    <w:p>
      <w:pPr>
        <w:spacing w:after="120"/>
        <w:jc w:val="left"/>
      </w:pPr>
      <w:r>
        <w:rPr>
          <w:b/>
          <w:bCs/>
        </w:rPr>
        <w:t xml:space="preserve">Querverweise:</w:t>
      </w:r>
    </w:p>
    <w:p>
      <w:pPr>
        <w:spacing w:after="120"/>
        <w:jc w:val="left"/>
      </w:pPr>
      <w:r>
        <w:t xml:space="preserve">• Zonensystem: Kapitel 9 (Definition aller 19 Zonen mit Referenzwerten und Severity-Gewichten)</w:t>
      </w:r>
    </w:p>
    <w:p>
      <w:pPr>
        <w:spacing w:after="120"/>
        <w:jc w:val="left"/>
      </w:pPr>
      <w:r>
        <w:t xml:space="preserve">• Produkte: Kapitel 11 (Produktauswahl, vaskulaere Sicherheitshinweise pro Zone)</w:t>
      </w:r>
    </w:p>
    <w:p>
      <w:pPr>
        <w:spacing w:after="120"/>
        <w:jc w:val="left"/>
      </w:pPr>
      <w:r>
        <w:t xml:space="preserve">• Priorisierung: Kapitel 13 (STRUCTURAL_PRIORITY fuer gestaffelten Behandlungsansatz)</w:t>
      </w:r>
    </w:p>
    <w:p>
      <w:pPr>
        <w:spacing w:after="120"/>
        <w:jc w:val="left"/>
      </w:pPr>
      <w:r>
        <w:t xml:space="preserve">• Profilanalyse: Kapitel 6 (Normwerte fuer E-Linie, NLA, CMA, die in Severity-Berechnung einfliessen)</w:t>
      </w:r>
    </w:p>
    <w:p>
      <w:pPr>
        <w:spacing w:after="120"/>
        <w:jc w:val="left"/>
      </w:pPr>
      <w:r>
        <w:t xml:space="preserve">• Symmetrieanalyse: Kapitel 4 (Bilaterale Symmetriemessung als Grundlage fuer Asymmetrie-Check)</w:t>
      </w:r>
    </w:p>
    <w:p>
      <w:pPr>
        <w:pStyle w:val="Heading2"/>
        <w:spacing w:after="180" w:before="360"/>
      </w:pPr>
      <w:r>
        <w:rPr>
          <w:b/>
          <w:bCs/>
        </w:rPr>
        <w:t xml:space="preserve">14.9 Klinisches Fallbeispiel: Zusammenspiel der Sicherheitschecks</w:t>
      </w:r>
    </w:p>
    <w:p>
      <w:pPr>
        <w:spacing w:after="120"/>
        <w:jc w:val="left"/>
      </w:pPr>
      <w:r>
        <w:rPr>
          <w:b/>
          <w:bCs/>
        </w:rPr>
        <w:t xml:space="preserve">Szenario: Eine 62-jaehrige Patientin zeigt folgende Zonenanalyse:</w:t>
      </w:r>
    </w:p>
    <w:p>
      <w:pPr>
        <w:spacing w:after="120"/>
        <w:ind w:left="360"/>
        <w:jc w:val="left"/>
      </w:pPr>
      <w:r>
        <w:t xml:space="preserve">• Ck2 (Wangenhoehe): severity 7,2 — deutlicher Volumenverlust</w:t>
      </w:r>
    </w:p>
    <w:p>
      <w:pPr>
        <w:spacing w:after="120"/>
        <w:ind w:left="360"/>
        <w:jc w:val="left"/>
      </w:pPr>
      <w:r>
        <w:t xml:space="preserve">• Tt1 (Traenental): severity 6,8 — tiefe Traenentaldeformitaet</w:t>
      </w:r>
    </w:p>
    <w:p>
      <w:pPr>
        <w:spacing w:after="120"/>
        <w:ind w:left="360"/>
        <w:jc w:val="left"/>
      </w:pPr>
      <w:r>
        <w:t xml:space="preserve">• Ns1 (Nasolabial): severity 5,5 — maessige Nasolabialfalte</w:t>
      </w:r>
    </w:p>
    <w:p>
      <w:pPr>
        <w:spacing w:after="120"/>
        <w:ind w:left="360"/>
        <w:jc w:val="left"/>
      </w:pPr>
      <w:r>
        <w:t xml:space="preserve">• Fo1 (Stirn): severity 4,2 — moderater Behandlungsbedarf</w:t>
      </w:r>
    </w:p>
    <w:p>
      <w:pPr>
        <w:spacing w:after="120"/>
        <w:ind w:left="360"/>
        <w:jc w:val="left"/>
      </w:pPr>
      <w:r>
        <w:t xml:space="preserve">• Bw2 (Glabella): severity 0,5 — kaum Befund</w:t>
      </w:r>
    </w:p>
    <w:p>
      <w:pPr>
        <w:spacing w:after="120"/>
        <w:ind w:left="360"/>
        <w:jc w:val="left"/>
      </w:pPr>
      <w:r>
        <w:t xml:space="preserve">• 12 weitere Zonen mit diversen Severity-Scores, Total Severity = 64,3</w:t>
      </w:r>
    </w:p>
    <w:p>
      <w:pPr>
        <w:spacing w:after="120"/>
        <w:jc w:val="left"/>
      </w:pPr>
      <w:r>
        <w:rPr>
          <w:b/>
          <w:bCs/>
        </w:rPr>
        <w:t xml:space="preserve">Ausgeloeste Sicherheitschecks:</w:t>
      </w:r>
    </w:p>
    <w:p>
      <w:pPr>
        <w:spacing w:after="120"/>
        <w:jc w:val="left"/>
      </w:pPr>
      <w:r>
        <w:t xml:space="preserve">1. CAUTION (VASCULAR_RISK): Tt1 ist Hochrisiko-Zone + severity 6,8 &gt; 5,0 → Warnung mit Angabe A. angularis, A. infraorbitalis</w:t>
      </w:r>
    </w:p>
    <w:p>
      <w:pPr>
        <w:spacing w:after="120"/>
        <w:jc w:val="left"/>
      </w:pPr>
      <w:r>
        <w:t xml:space="preserve">2. CAUTION (VASCULAR_RISK): Ns1 ist Hochrisiko-Zone + severity 5,5 &gt; 5,0 → Warnung mit Angabe A. facialis</w:t>
      </w:r>
    </w:p>
    <w:p>
      <w:pPr>
        <w:spacing w:after="120"/>
        <w:jc w:val="left"/>
      </w:pPr>
      <w:r>
        <w:t xml:space="preserve">3. CAUTION (TEAR_TROUGH_DEEP): Tt1 severity 6,8 ≥ 6,0 → Midface-First-Empfehlung</w:t>
      </w:r>
    </w:p>
    <w:p>
      <w:pPr>
        <w:spacing w:after="120"/>
        <w:jc w:val="left"/>
      </w:pPr>
      <w:r>
        <w:t xml:space="preserve">4. WARNING (FOREHEAD_WITHOUT_GLABELLA): Fo1 severity 4,2 ≥ 3,0 und Bw2 severity 0,5 &lt; 1,0 → Ptosis-Warnung</w:t>
      </w:r>
    </w:p>
    <w:p>
      <w:pPr>
        <w:spacing w:after="120"/>
        <w:jc w:val="left"/>
      </w:pPr>
      <w:r>
        <w:t xml:space="preserve">5. WARNING (OVERTREATMENT_RISK): Total Severity 64,3 &gt; 60 → Empfehlung zur gestaffelten Behandlung</w:t>
      </w:r>
    </w:p>
    <w:p>
      <w:pPr>
        <w:spacing w:after="120"/>
        <w:jc w:val="left"/>
      </w:pPr>
      <w:r>
        <w:rPr>
          <w:b/>
          <w:bCs/>
        </w:rPr>
        <w:t xml:space="preserve">Empfohlene Vorgehensweise:</w:t>
      </w:r>
    </w:p>
    <w:p>
      <w:pPr>
        <w:spacing w:after="120"/>
        <w:jc w:val="left"/>
      </w:pPr>
      <w:r>
        <w:t xml:space="preserve">Sitzung 1: Ck2 (Midface-Volumen) — verbessert sekundaer Tt1 und Ns1. Bw2 mit niedrig dosiertem Neurotoxin einschliessen, um die Voraussetzung fuer Fo1 zu schaffen.</w:t>
      </w:r>
    </w:p>
    <w:p>
      <w:pPr>
        <w:spacing w:after="120"/>
        <w:jc w:val="left"/>
      </w:pPr>
      <w:r>
        <w:t xml:space="preserve">Sitzung 2 (nach 4–6 Wochen): Reevaluation. Falls Tt1 verbessert: direkte Tt1-Behandlung moeglicherweise nicht mehr noetig. Fo1 + Bw2 Neurotoxin.</w:t>
      </w:r>
    </w:p>
    <w:p>
      <w:pPr>
        <w:spacing w:after="120"/>
        <w:jc w:val="left"/>
      </w:pPr>
      <w:r>
        <w:t xml:space="preserve">Sitzung 3: Restliche Zonen nach Priorisierung.</w:t>
      </w:r>
    </w:p>
    <w:p>
      <w:r>
        <w:br w:type="page"/>
      </w:r>
    </w:p>
    <w:p>
      <w:pPr>
        <w:pStyle w:val="Heading1"/>
        <w:spacing w:after="240" w:before="480"/>
      </w:pPr>
      <w:r>
        <w:rPr>
          <w:b/>
          <w:bCs/>
        </w:rPr>
        <w:t xml:space="preserve">Teil V — Ergebniskontrolle</w:t>
      </w:r>
    </w:p>
    <w:p>
      <w:pPr>
        <w:pStyle w:val="Heading1"/>
        <w:spacing w:after="240" w:before="480"/>
      </w:pPr>
      <w:r>
        <w:rPr>
          <w:b/>
          <w:bCs/>
        </w:rPr>
        <w:t xml:space="preserve">Kapitel 15: Before/After-Vergleich</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Kapitel 16: Qualitätssicherung</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Anhang</w:t>
      </w:r>
    </w:p>
    <w:p>
      <w:pPr>
        <w:pStyle w:val="Heading1"/>
        <w:spacing w:after="240" w:before="480"/>
      </w:pPr>
      <w:r>
        <w:rPr>
          <w:b/>
          <w:bCs/>
        </w:rPr>
        <w:t xml:space="preserve">Anhang A: Vollständige Zone-Referenztabelle</w:t>
      </w:r>
    </w:p>
    <w:p>
      <w:pPr>
        <w:spacing w:after="120"/>
        <w:jc w:val="left"/>
      </w:pPr>
      <w:r>
        <w:rPr>
          <w:i/>
          <w:iCs/>
          <w:color w:val="888888"/>
        </w:rPr>
        <w:t xml:space="preserve">Inhalt folgt in einer späteren Ausgabe.</w:t>
      </w:r>
    </w:p>
    <w:p>
      <w:pPr>
        <w:pStyle w:val="Heading1"/>
        <w:spacing w:after="240" w:before="480"/>
      </w:pPr>
      <w:r>
        <w:rPr>
          <w:b/>
          <w:bCs/>
        </w:rPr>
        <w:t xml:space="preserve">Anhang B: Produkt-Übersichtstabelle</w:t>
      </w:r>
    </w:p>
    <w:p>
      <w:pPr>
        <w:spacing w:after="120"/>
        <w:jc w:val="left"/>
      </w:pPr>
      <w:r>
        <w:rPr>
          <w:i/>
          <w:iCs/>
          <w:color w:val="888888"/>
        </w:rPr>
        <w:t xml:space="preserve">Inhalt folgt in einer späteren Ausgabe.</w:t>
      </w:r>
    </w:p>
    <w:p>
      <w:pPr>
        <w:pStyle w:val="Heading1"/>
        <w:spacing w:after="240" w:before="480"/>
      </w:pPr>
      <w:r>
        <w:rPr>
          <w:b/>
          <w:bCs/>
        </w:rPr>
        <w:t xml:space="preserve">Anhang C: Vaskuläre Danger-Zone Karte</w:t>
      </w:r>
    </w:p>
    <w:p>
      <w:pPr>
        <w:spacing w:after="120"/>
        <w:jc w:val="left"/>
      </w:pPr>
      <w:r>
        <w:rPr>
          <w:i/>
          <w:iCs/>
          <w:color w:val="888888"/>
        </w:rPr>
        <w:t xml:space="preserve">Inhalt folgt in einer späteren Ausgabe.</w:t>
      </w:r>
    </w:p>
    <w:p>
      <w:pPr>
        <w:pStyle w:val="Heading1"/>
        <w:spacing w:after="240" w:before="480"/>
      </w:pPr>
      <w:r>
        <w:rPr>
          <w:b/>
          <w:bCs/>
        </w:rPr>
        <w:t xml:space="preserve">Anhang D: Glossar</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Literaturverzeichnis</w:t>
      </w:r>
    </w:p>
    <w:p>
      <w:pPr>
        <w:spacing w:after="120"/>
        <w:jc w:val="left"/>
      </w:pPr>
      <w:r>
        <w:t xml:space="preserve">De Maio M. MD Codes™: A Methodological Approach to Facial Aesthetic Treatment with Injectable Hyaluronic Acid Fillers. Aesthetic Plast Surg. 2021;45:1–18.</w:t>
      </w:r>
    </w:p>
    <w:p>
      <w:pPr>
        <w:spacing w:after="120"/>
        <w:jc w:val="left"/>
      </w:pPr>
      <w:r>
        <w:t xml:space="preserve">Hashemi H, Khabazkhoob M, Emamian MH, Shariati M, Fotouhi A. Distribution of iris diameter measured with the Orbscan II. Cornea. 2012;31(12):1442–1447.</w:t>
      </w:r>
    </w:p>
    <w:p>
      <w:pPr>
        <w:spacing w:after="120"/>
        <w:jc w:val="left"/>
      </w:pPr>
      <w:r>
        <w:t xml:space="preserve">Ricketts RM. The biologic significance of the divine proportion and Fibonacci series. Am J Orthod. 1982;81(5):351–370.</w:t>
      </w:r>
    </w:p>
    <w:p>
      <w:pPr>
        <w:spacing w:after="120"/>
        <w:jc w:val="left"/>
      </w:pPr>
      <w:r>
        <w:t xml:space="preserve">Sundaram H, Voigts B, Beer K, Meland M. Comparison of the Rheological Properties of Viscosity and Elasticity in Two Categories of Soft Tissue Fillers: Calcium Hydroxylapatite and Hyaluronic Acid. Dermatol Surg. 2010;36:1859–1865.</w:t>
      </w:r>
    </w:p>
    <w:p>
      <w:pPr>
        <w:spacing w:after="120"/>
        <w:jc w:val="left"/>
      </w:pPr>
      <w:r>
        <w:t xml:space="preserve">Sundaram H, Liew S, Signorini M, et al. Global Aesthetics Consensus: Hyaluronic Acid Fillers and Botulinum Toxin Type A — Recommendations for Combined Treatment and Optimizing Outcomes in Diverse Populations. Plast Reconstr Surg. 2016;137(5):1410–1423.</w:t>
      </w:r>
    </w:p>
    <w:p>
      <w:pPr>
        <w:spacing w:after="120"/>
        <w:jc w:val="left"/>
      </w:pPr>
      <w:r>
        <w:t xml:space="preserve">Cotofana S, Lachman N. Arteries of the Face and Their Relevance for Minimally Invasive Facial Procedures: An Anatomical Review. Plast Reconstr Surg. 2019;143(1):240–252.</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Ästhetische Gesichtsanalyse und Behandlungsplanung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2C3E50"/>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34495E"/>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5D6D7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2026-03-22T10:50:04.118Z</dcterms:created>
  <dcterms:modified xsi:type="dcterms:W3CDTF">2026-03-22T10:50:04.118Z</dcterms:modified>
</cp:coreProperties>
</file>

<file path=docProps/custom.xml><?xml version="1.0" encoding="utf-8"?>
<Properties xmlns="http://schemas.openxmlformats.org/officeDocument/2006/custom-properties" xmlns:vt="http://schemas.openxmlformats.org/officeDocument/2006/docPropsVTypes"/>
</file>