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70C" w:rsidRDefault="00AC670C" w:rsidP="009620BD">
      <w:pPr>
        <w:rPr>
          <w:u w:val="single"/>
        </w:rPr>
      </w:pPr>
      <w:r>
        <w:rPr>
          <w:u w:val="single"/>
        </w:rPr>
        <w:t>Research Proposal (Working Draft)</w:t>
      </w:r>
    </w:p>
    <w:p w:rsidR="00AC670C" w:rsidRDefault="00AC670C" w:rsidP="009620BD">
      <w:pPr>
        <w:rPr>
          <w:u w:val="single"/>
        </w:rPr>
      </w:pPr>
    </w:p>
    <w:p w:rsidR="00AC670C" w:rsidRDefault="00AC670C" w:rsidP="009620BD">
      <w:pPr>
        <w:rPr>
          <w:u w:val="single"/>
        </w:rPr>
      </w:pPr>
    </w:p>
    <w:p w:rsidR="009620BD" w:rsidRPr="00E2186C" w:rsidRDefault="005F2094" w:rsidP="009620BD">
      <w:r>
        <w:rPr>
          <w:u w:val="single"/>
        </w:rPr>
        <w:t>Motivation</w:t>
      </w:r>
      <w:r w:rsidR="009620BD">
        <w:rPr>
          <w:u w:val="single"/>
        </w:rPr>
        <w:t xml:space="preserve"> /</w:t>
      </w:r>
      <w:r w:rsidR="009620BD" w:rsidRPr="009620BD">
        <w:rPr>
          <w:u w:val="single"/>
        </w:rPr>
        <w:t xml:space="preserve"> </w:t>
      </w:r>
      <w:r w:rsidR="009620BD">
        <w:rPr>
          <w:u w:val="single"/>
        </w:rPr>
        <w:t>Research Question</w:t>
      </w:r>
    </w:p>
    <w:p w:rsidR="00204BB4" w:rsidRDefault="00204BB4" w:rsidP="00280230">
      <w:pPr>
        <w:widowControl w:val="0"/>
        <w:autoSpaceDE w:val="0"/>
        <w:autoSpaceDN w:val="0"/>
        <w:adjustRightInd w:val="0"/>
        <w:rPr>
          <w:u w:val="single"/>
        </w:rPr>
      </w:pPr>
    </w:p>
    <w:p w:rsidR="00280230" w:rsidRDefault="00280230" w:rsidP="00280230">
      <w:pPr>
        <w:widowControl w:val="0"/>
        <w:autoSpaceDE w:val="0"/>
        <w:autoSpaceDN w:val="0"/>
        <w:adjustRightInd w:val="0"/>
      </w:pPr>
    </w:p>
    <w:p w:rsidR="000C2671" w:rsidRDefault="0032096B" w:rsidP="00E64EB6">
      <w:pPr>
        <w:widowControl w:val="0"/>
        <w:autoSpaceDE w:val="0"/>
        <w:autoSpaceDN w:val="0"/>
        <w:adjustRightInd w:val="0"/>
        <w:ind w:firstLine="720"/>
      </w:pPr>
      <w:r>
        <w:t>Th</w:t>
      </w:r>
      <w:r w:rsidR="00D8630E">
        <w:t>e</w:t>
      </w:r>
      <w:r w:rsidR="0042184F">
        <w:t xml:space="preserve"> research received</w:t>
      </w:r>
      <w:r w:rsidR="00DA2675">
        <w:t xml:space="preserve"> from the Open Government Partnership (OPG) </w:t>
      </w:r>
      <w:r w:rsidR="00D8630E">
        <w:t>Strategic Refresh in 2016</w:t>
      </w:r>
      <w:r w:rsidR="00DA2675">
        <w:t xml:space="preserve"> showed stakeholders three things.  It showed the level </w:t>
      </w:r>
      <w:r w:rsidR="007B58F7">
        <w:t xml:space="preserve">and type </w:t>
      </w:r>
      <w:r w:rsidR="00DA2675">
        <w:t xml:space="preserve">of compliance and commitment OGP participants </w:t>
      </w:r>
      <w:r w:rsidR="007B58F7">
        <w:t xml:space="preserve">had, it showed what </w:t>
      </w:r>
      <w:r w:rsidR="007C64E4">
        <w:t xml:space="preserve">varying </w:t>
      </w:r>
      <w:r w:rsidR="007B58F7">
        <w:t>factors drive the development and completion of a National Act</w:t>
      </w:r>
      <w:r w:rsidR="007C64E4">
        <w:t>ion Plan (NAP)</w:t>
      </w:r>
      <w:r w:rsidR="007B58F7">
        <w:t xml:space="preserve">, and </w:t>
      </w:r>
      <w:r w:rsidR="001A78C1">
        <w:t>the potential long term impact</w:t>
      </w:r>
      <w:r w:rsidR="007C64E4">
        <w:t xml:space="preserve"> OGP</w:t>
      </w:r>
      <w:r w:rsidR="008F0922">
        <w:t xml:space="preserve"> reform</w:t>
      </w:r>
      <w:r w:rsidR="001A78C1">
        <w:t xml:space="preserve"> can have</w:t>
      </w:r>
      <w:r w:rsidR="00F4420F">
        <w:t xml:space="preserve"> on</w:t>
      </w:r>
      <w:r w:rsidR="008F0922">
        <w:t xml:space="preserve"> participating countries </w:t>
      </w:r>
      <w:r w:rsidR="008F0922">
        <w:fldChar w:fldCharType="begin" w:fldLock="1"/>
      </w:r>
      <w:r w:rsidR="008F0922">
        <w:instrText>ADDIN CSL_CITATION { "citationItems" : [ { "id" : "ITEM-1", "itemData" : { "id" : "ITEM-1", "issued" : { "date-parts" : [ [ "2017" ] ] }, "title" : "OPG Research Agenda 2017 - 18", "type" : "article-journal" }, "uris" : [ "http://www.mendeley.com/documents/?uuid=0f8834fa-7485-409a-b430-0df004858537" ] } ], "mendeley" : { "formattedCitation" : "(\u201cOPG Research Agenda 2017 - 18,\u201d 2017)", "plainTextFormattedCitation" : "(\u201cOPG Research Agenda 2017 - 18,\u201d 2017)" }, "properties" : { "noteIndex" : 0 }, "schema" : "https://github.com/citation-style-language/schema/raw/master/csl-citation.json" }</w:instrText>
      </w:r>
      <w:r w:rsidR="008F0922">
        <w:fldChar w:fldCharType="separate"/>
      </w:r>
      <w:r w:rsidR="008F0922" w:rsidRPr="008F0922">
        <w:rPr>
          <w:noProof/>
        </w:rPr>
        <w:t>(“OPG Research Agenda 2017 - 18,” 2017)</w:t>
      </w:r>
      <w:r w:rsidR="008F0922">
        <w:fldChar w:fldCharType="end"/>
      </w:r>
      <w:r w:rsidR="00E5301D">
        <w:t xml:space="preserve">.  </w:t>
      </w:r>
      <w:r w:rsidR="0077256A">
        <w:t>OPG has compiled a wealth of publications</w:t>
      </w:r>
      <w:r w:rsidR="003301FB">
        <w:t>, in terms of what effects OPG</w:t>
      </w:r>
      <w:r w:rsidR="0077256A">
        <w:t xml:space="preserve"> has on transparency</w:t>
      </w:r>
      <w:r w:rsidR="003301FB">
        <w:t xml:space="preserve"> promotion</w:t>
      </w:r>
      <w:r w:rsidR="0077256A">
        <w:t>,</w:t>
      </w:r>
      <w:r w:rsidR="003301FB">
        <w:t xml:space="preserve"> and is </w:t>
      </w:r>
      <w:r w:rsidR="0077256A">
        <w:t xml:space="preserve">now calling for research that address how these </w:t>
      </w:r>
      <w:r w:rsidR="00916E70">
        <w:t>effects</w:t>
      </w:r>
      <w:r w:rsidR="000B5F7D">
        <w:t xml:space="preserve"> in transparency influence</w:t>
      </w:r>
      <w:r w:rsidR="0021166E">
        <w:t xml:space="preserve"> different behavior</w:t>
      </w:r>
      <w:r w:rsidR="000C2671">
        <w:t>s</w:t>
      </w:r>
      <w:r w:rsidR="0021166E">
        <w:t xml:space="preserve"> and economi</w:t>
      </w:r>
      <w:r w:rsidR="00916E70">
        <w:t xml:space="preserve">c </w:t>
      </w:r>
      <w:r w:rsidR="000B5F7D">
        <w:t>factors of its participants. OGP</w:t>
      </w:r>
      <w:r w:rsidR="00916E70">
        <w:t xml:space="preserve"> is </w:t>
      </w:r>
      <w:r w:rsidR="000B5F7D">
        <w:t>has proposed</w:t>
      </w:r>
      <w:r w:rsidR="00916E70">
        <w:t xml:space="preserve"> four specific research topics, and </w:t>
      </w:r>
      <w:r w:rsidR="000B5F7D">
        <w:t xml:space="preserve">the research collected from these </w:t>
      </w:r>
      <w:r w:rsidR="00B1448C">
        <w:t xml:space="preserve">topics </w:t>
      </w:r>
      <w:r w:rsidR="00E64EB6">
        <w:t>will be used to promote the positive</w:t>
      </w:r>
      <w:r w:rsidR="00B1448C">
        <w:t xml:space="preserve"> effects of having an</w:t>
      </w:r>
      <w:r w:rsidR="00E64EB6">
        <w:t xml:space="preserve"> open and transparent government.</w:t>
      </w:r>
    </w:p>
    <w:p w:rsidR="000C2671" w:rsidRDefault="009620BD" w:rsidP="008F0922">
      <w:pPr>
        <w:widowControl w:val="0"/>
        <w:autoSpaceDE w:val="0"/>
        <w:autoSpaceDN w:val="0"/>
        <w:adjustRightInd w:val="0"/>
      </w:pPr>
      <w:r>
        <w:tab/>
        <w:t xml:space="preserve">One of the research questions </w:t>
      </w:r>
      <w:r w:rsidR="00B1448C">
        <w:t>focuses on the effects an</w:t>
      </w:r>
      <w:r>
        <w:t xml:space="preserve"> open and transparent government has on </w:t>
      </w:r>
      <w:r w:rsidR="00476DD2">
        <w:t>the trust and legitimacy between the state and its citizens.  More specifically, OGP has proposed the research question as:</w:t>
      </w:r>
    </w:p>
    <w:p w:rsidR="00E2186C" w:rsidRDefault="00E2186C" w:rsidP="009A5213"/>
    <w:p w:rsidR="00E2186C" w:rsidRPr="00476DD2" w:rsidRDefault="00E2186C" w:rsidP="009A5213">
      <w:pPr>
        <w:ind w:firstLine="720"/>
        <w:rPr>
          <w:i/>
        </w:rPr>
      </w:pPr>
      <w:proofErr w:type="gramStart"/>
      <w:r w:rsidRPr="00476DD2">
        <w:rPr>
          <w:i/>
        </w:rPr>
        <w:t>Does involving citizens</w:t>
      </w:r>
      <w:proofErr w:type="gramEnd"/>
      <w:r w:rsidRPr="00476DD2">
        <w:rPr>
          <w:i/>
        </w:rPr>
        <w:t xml:space="preserve"> in policymaking and service delivery lead to improved trust and legitimacy between the state and society? How? Which OGP or non-OGP countries and subnational governments have demonstrated these outcomes?</w:t>
      </w:r>
    </w:p>
    <w:p w:rsidR="00476DD2" w:rsidRDefault="00476DD2" w:rsidP="009A5213"/>
    <w:p w:rsidR="005C63B6" w:rsidRDefault="005C63B6" w:rsidP="009A5213">
      <w:bookmarkStart w:id="0" w:name="_GoBack"/>
      <w:bookmarkEnd w:id="0"/>
    </w:p>
    <w:p w:rsidR="00EA000D" w:rsidRDefault="00C92F0B" w:rsidP="005E3DC2">
      <w:pPr>
        <w:ind w:firstLine="720"/>
      </w:pPr>
      <w:r>
        <w:t>Answering this</w:t>
      </w:r>
      <w:r w:rsidR="00EA000D">
        <w:t xml:space="preserve"> question is important because</w:t>
      </w:r>
      <w:r>
        <w:t xml:space="preserve"> many researchers perceive that</w:t>
      </w:r>
      <w:r w:rsidR="00EA000D">
        <w:t xml:space="preserve"> </w:t>
      </w:r>
      <w:r w:rsidR="001E794D">
        <w:t>improved trust and legitimacy be</w:t>
      </w:r>
      <w:r w:rsidR="00597B44">
        <w:t>tween the state and society has</w:t>
      </w:r>
      <w:r>
        <w:t xml:space="preserve"> a positive</w:t>
      </w:r>
      <w:r w:rsidR="00597B44">
        <w:t xml:space="preserve"> effect on civil </w:t>
      </w:r>
      <w:r w:rsidR="005E3DC2">
        <w:t>society’s</w:t>
      </w:r>
      <w:r w:rsidR="00597B44">
        <w:t xml:space="preserve"> willingness to engage in the political process</w:t>
      </w:r>
      <w:r w:rsidR="005E3DC2">
        <w:t xml:space="preserve"> and reformations</w:t>
      </w:r>
      <w:r w:rsidR="007D771D">
        <w:t xml:space="preserve"> (cite</w:t>
      </w:r>
      <w:r w:rsidR="00597B44">
        <w:t>).</w:t>
      </w:r>
      <w:r w:rsidR="006725CA">
        <w:t xml:space="preserve"> &gt;&gt;EXPAND&lt;&lt;</w:t>
      </w:r>
    </w:p>
    <w:p w:rsidR="00B4030E" w:rsidRDefault="00B4030E" w:rsidP="009A5213"/>
    <w:p w:rsidR="00E2186C" w:rsidRDefault="00E2186C" w:rsidP="009A5213">
      <w:r>
        <w:rPr>
          <w:u w:val="single"/>
        </w:rPr>
        <w:t>Targeted Audience</w:t>
      </w:r>
    </w:p>
    <w:p w:rsidR="005E3DC2" w:rsidRDefault="005E3DC2" w:rsidP="009A5213"/>
    <w:p w:rsidR="00E2186C" w:rsidRDefault="00946958" w:rsidP="009A5213">
      <w:r>
        <w:tab/>
      </w:r>
      <w:r w:rsidR="002C3B69">
        <w:t>There are three different groups of individuals this research will</w:t>
      </w:r>
      <w:r w:rsidR="00507809">
        <w:t xml:space="preserve"> target.  The first group is made up of the</w:t>
      </w:r>
      <w:r w:rsidR="002C3B69">
        <w:t xml:space="preserve"> </w:t>
      </w:r>
      <w:r w:rsidR="00E2186C">
        <w:t>Open Government Reformers (i.e. mid-level government officials</w:t>
      </w:r>
      <w:r w:rsidR="002C3B69">
        <w:t xml:space="preserve"> / civil society actors)</w:t>
      </w:r>
      <w:r w:rsidR="005D2DDD">
        <w:t xml:space="preserve"> are already committed to improving the trust and legitimacy between each other, the state and civil society.  </w:t>
      </w:r>
      <w:r w:rsidR="002C3B69">
        <w:t xml:space="preserve">The second group is </w:t>
      </w:r>
      <w:r w:rsidR="005D2DDD">
        <w:t xml:space="preserve">the </w:t>
      </w:r>
      <w:r w:rsidR="00BF6524">
        <w:t>OGP Support Unit and</w:t>
      </w:r>
      <w:r w:rsidR="005D2DDD">
        <w:t xml:space="preserve"> Independent Reporting Me</w:t>
      </w:r>
      <w:r w:rsidR="00AA00E9">
        <w:t>chanism, and they will use the results from this research to constrict an OPG platform that facilitates legitimacy and trust between state and civil society</w:t>
      </w:r>
      <w:r w:rsidR="00BF6524">
        <w:t xml:space="preserve">.  </w:t>
      </w:r>
      <w:r w:rsidR="00AA00E9">
        <w:t>Most importantly, t</w:t>
      </w:r>
      <w:r w:rsidR="00BF6524">
        <w:t xml:space="preserve">he third group consists of the already </w:t>
      </w:r>
      <w:r w:rsidR="006B77FE">
        <w:t xml:space="preserve">engaged and </w:t>
      </w:r>
      <w:r w:rsidR="00BF6524">
        <w:t xml:space="preserve">committed </w:t>
      </w:r>
      <w:r w:rsidR="005E3DC2">
        <w:t xml:space="preserve">political </w:t>
      </w:r>
      <w:r w:rsidR="00BF6524">
        <w:t xml:space="preserve">leaders and the skeptical </w:t>
      </w:r>
      <w:r w:rsidR="00154C7D">
        <w:t xml:space="preserve">political </w:t>
      </w:r>
      <w:r w:rsidR="00BF6524">
        <w:t>leaders</w:t>
      </w:r>
      <w:r w:rsidR="00154C7D">
        <w:t xml:space="preserve"> that need empirical evidence</w:t>
      </w:r>
      <w:r w:rsidR="006B77FE">
        <w:t xml:space="preserve"> a mor</w:t>
      </w:r>
      <w:r w:rsidR="00507809">
        <w:t>e open and trans</w:t>
      </w:r>
      <w:r w:rsidR="006B77FE">
        <w:t xml:space="preserve">parent government </w:t>
      </w:r>
      <w:r w:rsidR="00507809">
        <w:t>positively effect</w:t>
      </w:r>
      <w:r w:rsidR="00280230">
        <w:t>s</w:t>
      </w:r>
      <w:r w:rsidR="006B77FE">
        <w:t xml:space="preserve"> </w:t>
      </w:r>
      <w:r w:rsidR="00507809">
        <w:t>the legitimacy and level</w:t>
      </w:r>
      <w:r w:rsidR="00280230">
        <w:t xml:space="preserve"> of trust between</w:t>
      </w:r>
      <w:r w:rsidR="00507809">
        <w:t xml:space="preserve"> state and civil society.</w:t>
      </w:r>
    </w:p>
    <w:p w:rsidR="00597B44" w:rsidRDefault="00597B44" w:rsidP="009A5213"/>
    <w:p w:rsidR="007D771D" w:rsidRDefault="007D771D" w:rsidP="009A5213"/>
    <w:p w:rsidR="007D771D" w:rsidRDefault="007D771D" w:rsidP="009A5213"/>
    <w:p w:rsidR="007D771D" w:rsidRDefault="007D771D" w:rsidP="009A5213"/>
    <w:p w:rsidR="007D771D" w:rsidRDefault="007D771D" w:rsidP="009A5213"/>
    <w:p w:rsidR="007D771D" w:rsidRDefault="007D771D" w:rsidP="009A5213"/>
    <w:p w:rsidR="00897903" w:rsidRPr="00472939" w:rsidRDefault="00F63EF0" w:rsidP="009A5213">
      <w:pPr>
        <w:rPr>
          <w:u w:val="single"/>
        </w:rPr>
      </w:pPr>
      <w:r>
        <w:rPr>
          <w:u w:val="single"/>
        </w:rPr>
        <w:t>Methodology</w:t>
      </w:r>
    </w:p>
    <w:p w:rsidR="00897903" w:rsidRDefault="00897903" w:rsidP="009A5213"/>
    <w:p w:rsidR="007D771D" w:rsidRDefault="007D771D" w:rsidP="009A5213"/>
    <w:p w:rsidR="00245936" w:rsidRDefault="00C3731C" w:rsidP="009A5213">
      <w:pPr>
        <w:rPr>
          <w:i/>
        </w:rPr>
      </w:pPr>
      <w:r w:rsidRPr="00EC7F10">
        <w:rPr>
          <w:i/>
        </w:rPr>
        <w:t>Analytical framework; why it is particularly sui</w:t>
      </w:r>
      <w:r w:rsidR="00E5301D">
        <w:rPr>
          <w:i/>
        </w:rPr>
        <w:t>ted to doing a synthesis study</w:t>
      </w:r>
    </w:p>
    <w:p w:rsidR="00C3731C" w:rsidRDefault="00C3731C" w:rsidP="009A5213"/>
    <w:p w:rsidR="00E64EB6" w:rsidRDefault="000548CA" w:rsidP="00BB35FB">
      <w:pPr>
        <w:widowControl w:val="0"/>
        <w:autoSpaceDE w:val="0"/>
        <w:autoSpaceDN w:val="0"/>
        <w:adjustRightInd w:val="0"/>
        <w:ind w:left="480" w:hanging="480"/>
      </w:pPr>
      <w:r>
        <w:t>&gt;&gt;&gt;&gt; Talk about the previous conclusions from research, and elabor</w:t>
      </w:r>
      <w:r w:rsidR="00BB35FB">
        <w:t xml:space="preserve">ate on how important context and capturing a causal relationship is. </w:t>
      </w:r>
      <w:r w:rsidR="00BB35FB">
        <w:fldChar w:fldCharType="begin" w:fldLock="1"/>
      </w:r>
      <w:r w:rsidR="00BB35FB">
        <w:instrText>ADDIN CSL_CITATION { "citationItems" : [ { "id" : "ITEM-1", "itemData" : { "DOI" : "10.1017/CBO9781107415324.004", "ISBN" : "1549-1676 (Electronic)\\r1549-1277 (Linking)", "ISSN" : "185864285X", "PMID" : "24714528", "abstract" : "Recent years have witnessed the emergence of a loosely woven transnational move- ment, based particularly on advocacy by nongovernmental organizations working with local groups and communities, on the one hand, and national and transnational organizations, on the other, to build and extend new versions of environmental and social advocacy that link social justice and environmental management agendas. One of the most significant developments has been the promotion of community-based nat- ural resource management programs and policies. However, the success of dissemi- nating this paradigm has raised new challenges, as concepts of community, territory, conservation, and indigenous are worked into politically varied plans and programs in disparate sites. We outline a series of themes, questions, and concerns that we be- lieve should be addressed both in the work of scholars engaged in analyzing this emergent agenda, and in the efforts of advocates and donor institutions who are en- gaged in designing and implementing such programs.", "author" : [ { "dropping-particle" : "", "family" : "Agrawal", "given" : "Arun", "non-dropping-particle" : "", "parse-names" : false, "suffix" : "" }, { "dropping-particle" : "", "family" : "Gibson", "given" : "Clark C.", "non-dropping-particle" : "", "parse-names" : false, "suffix" : "" }, { "dropping-particle" : "", "family" : "Brosius", "given" : "J Peter", "non-dropping-particle" : "", "parse-names" : false, "suffix" : "" }, { "dropping-particle" : "", "family" : "Tsing", "given" : "Anna Lowenhaupt", "non-dropping-particle" : "", "parse-names" : false, "suffix" : "" }, { "dropping-particle" : "", "family" : "Zerner", "given" : "Charles", "non-dropping-particle" : "", "parse-names" : false, "suffix" : "" }, { "dropping-particle" : "", "family" : "D'Cruz", "given" : "Celine", "non-dropping-particle" : "", "parse-names" : false, "suffix" : "" }, { "dropping-particle" : "", "family" : "Cadornigara", "given" : "Sonia Fadrigo", "non-dropping-particle" : "", "parse-names" : false, "suffix" : "" }, { "dropping-particle" : "", "family" : "Satterthwaite", "given" : "David", "non-dropping-particle" : "", "parse-names" : false, "suffix" : "" }, { "dropping-particle" : "", "family" : "DeGeorges", "given" : "Paul Andre", "non-dropping-particle" : "", "parse-names" : false, "suffix" : "" }, { "dropping-particle" : "", "family" : "Reilly", "given" : "Brian Kevin", "non-dropping-particle" : "", "parse-names" : false, "suffix" : "" }, { "dropping-particle" : "", "family" : "Dube", "given" : "T.", "non-dropping-particle" : "", "parse-names" : false, "suffix" : "" }, { "dropping-particle" : "", "family" : "Fonjong", "given" : "Lotsmart N.", "non-dropping-particle" : "", "parse-names" : false, "suffix" : "" }, { "dropping-particle" : "", "family" : "Generations", "given" : "Future", "non-dropping-particle" : "", "parse-names" : false, "suffix" : "" }, { "dropping-particle" : "", "family" : "Grimble", "given" : "Robin", "non-dropping-particle" : "", "parse-names" : false, "suffix" : "" }, { "dropping-particle" : "", "family" : "Gruber", "given" : "JamesS S.", "non-dropping-particle" : "", "parse-names" : false, "suffix" : "" }, { "dropping-particle" : "", "family" : "Jones", "given" : "Brian T B", "non-dropping-particle" : "", "parse-names" : false, "suffix" : "" }, { "dropping-particle" : "", "family" : "Langford", "given" : "Malcolm", "non-dropping-particle" : "", "parse-names" : false, "suffix" : "" }, { "dropping-particle" : "", "family" : "Winkler", "given" : "Inga", "non-dropping-particle" : "", "parse-names" : false, "suffix" : "" }, { "dropping-particle" : "", "family" : "Manjengwa", "given" : "By Jeanette", "non-dropping-particle" : "", "parse-names" : false, "suffix" : "" }, { "dropping-particle" : "", "family" : "Mehta", "given" : "L.", "non-dropping-particle" : "", "parse-names" : false, "suffix" : "" }, { "dropping-particle" : "", "family" : "Leach", "given" : "M.", "non-dropping-particle" : "", "parse-names" : false, "suffix" : "" }, { "dropping-particle" : "", "family" : "Newell", "given" : "P.", "non-dropping-particle" : "", "parse-names" : false, "suffix" : "" }, { "dropping-particle" : "", "family" : "Scoones", "given" : "I.", "non-dropping-particle" : "", "parse-names" : false, "suffix" : "" }, { "dropping-particle" : "", "family" : "Sivaramakrishnan", "given" : "K.", "non-dropping-particle" : "", "parse-names" : false, "suffix" : "" }, { "dropping-particle" : "", "family" : "Way", "given" : "S.", "non-dropping-particle" : "", "parse-names" : false, "suffix" : "" }, { "dropping-particle" : "", "family" : "On", "given" : "International Conference", "non-dropping-particle" : "", "parse-names" : false, "suffix" : "" }, { "dropping-particle" : "", "family" : "Pavy", "given" : "Jean-michel", "non-dropping-particle" : "", "parse-names" : false, "suffix" : "" }, { "dropping-particle" : "", "family" : "Pullan", "given" : "Rachel L.", "non-dropping-particle" : "", "parse-names" : false, "suffix" : "" }, { "dropping-particle" : "", "family" : "Freeman", "given" : "Matthew C.", "non-dropping-particle" : "", "parse-names" : false, "suffix" : "" }, { "dropping-particle" : "", "family" : "Gething", "given" : "Peter W.", "non-dropping-particle" : "", "parse-names" : false, "suffix" : "" }, { "dropping-particle" : "", "family" : "Brooker", "given" : "Simon J.", "non-dropping-particle" : "", "parse-names" : false, "suffix" : "" }, { "dropping-particle" : "", "family" : "Ngwira", "given" : "Percy Mabvuto", "non-dropping-particle" : "", "parse-names" : false, "suffix" : "" }, { "dropping-particle" : "", "family" : "Kolawole", "given" : "Oluwatoyin Dare", "non-dropping-particle" : "", "parse-names" : false, "suffix" : "" }, { "dropping-particle" : "", "family" : "Mbaiwa", "given" : "Joseph E", "non-dropping-particle" : "", "parse-names" : false, "suffix" : "" }, { "dropping-particle" : "", "family" : "S\u00e1nchez-Mart\u00ednez", "given" : "Mar\u00eda-Teresa", "non-dropping-particle" : "", "parse-names" : false, "suffix" : "" }, { "dropping-particle" : "", "family" : "Salas-Velasco", "given" : "Manuel", "non-dropping-particle" : "", "parse-names" : false, "suffix" : "" }, { "dropping-particle" : "", "family" : "Rodr\u00edguez-Ferrero", "given" : "Noelina", "non-dropping-particle" : "", "parse-names" : false, "suffix" : "" }, { "dropping-particle" : "", "family" : "Total", "given" : "Sub", "non-dropping-particle" : "", "parse-names" : false, "suffix" : "" }, { "dropping-particle" : "", "family" : "UN", "given" : "", "non-dropping-particle" : "", "parse-names" : false, "suffix" : "" }, { "dropping-particle" : "", "family" : "Valley", "given" : "Luangwa", "non-dropping-particle" : "", "parse-names" : false, "suffix" : "" }, { "dropping-particle" : "", "family" : "Whitby", "given" : "Port", "non-dropping-particle" : "", "parse-names" : false, "suffix" : "" } ], "container-title" : "Climate Change 2013 - The Physical Science Basis", "id" : "ITEM-1", "issue" : "3", "issued" : { "date-parts" : [ [ "2014" ] ] }, "page" : "1-30", "title" : "Summary for Policymakers", "type" : "article-journal", "volume" : "1" }, "uris" : [ "http://www.mendeley.com/documents/?uuid=daa86a0d-79d0-44a3-bb43-5cf826c941de" ] } ], "mendeley" : { "formattedCitation" : "(Agrawal et al., 2014)", "plainTextFormattedCitation" : "(Agrawal et al., 2014)", "previouslyFormattedCitation" : "(Agrawal et al., 2014)" }, "properties" : { "noteIndex" : 0 }, "schema" : "https://github.com/citation-style-language/schema/raw/master/csl-citation.json" }</w:instrText>
      </w:r>
      <w:r w:rsidR="00BB35FB">
        <w:fldChar w:fldCharType="separate"/>
      </w:r>
      <w:r w:rsidR="00BB35FB" w:rsidRPr="00032FE9">
        <w:rPr>
          <w:noProof/>
        </w:rPr>
        <w:t>(Agrawal et al., 2014)</w:t>
      </w:r>
      <w:r w:rsidR="00BB35FB">
        <w:fldChar w:fldCharType="end"/>
      </w:r>
      <w:r w:rsidR="00BB35FB">
        <w:fldChar w:fldCharType="begin" w:fldLock="1"/>
      </w:r>
      <w:r w:rsidR="00BB35FB">
        <w:instrText>ADDIN CSL_CITATION { "citationItems" : [ { "id" : "ITEM-1", "itemData" : { "abstract" : "The purpose of the commissioned study was to \u2022 provide an in-depth analysis for the broader OGP community on how OGP participating countries are shaping and performing on civil society engagement; \u2022 inform the OGP Support Unit and Steering Committee members on possible areas for improvement of guidelines and support. The selected researchers developed a methodology and conducted the research independently of OGP. All findings in this report emanate from the researchers' efforts and should be understood as third party recommendations to the OGP governance institutions. This publication is licensed under a Creative Commons Attribution 3.0 license (CC BY 3.0). The content might be shared, used and reused, provided that appropriate credits are given to the authors.", "author" : [ { "dropping-particle" : "", "family" : "Francoli", "given" : "Mary", "non-dropping-particle" : "", "parse-names" : false, "suffix" : "" }, { "dropping-particle" : "", "family" : "Ostling", "given" : "Alina", "non-dropping-particle" : "", "parse-names" : false, "suffix" : "" }, { "dropping-particle" : "", "family" : "Steibel", "given" : "Fabro", "non-dropping-particle" : "", "parse-names" : false, "suffix" : "" } ], "id" : "ITEM-1", "issued" : { "date-parts" : [ [ "2015" ] ] }, "title" : "From Informing to Empowering: Best Practices and Recommendations for Improving Government Civil Society Interactions within OGP", "type" : "report" }, "uris" : [ "http://www.mendeley.com/documents/?uuid=b45e0fa8-a446-3c62-82ec-15826f7ef526" ] } ], "mendeley" : { "formattedCitation" : "(Francoli, Ostling, &amp; Steibel, 2015)", "plainTextFormattedCitation" : "(Francoli, Ostling, &amp; Steibel, 2015)", "previouslyFormattedCitation" : "(Francoli, Ostling, &amp; Steibel, 2015)" }, "properties" : { "noteIndex" : 0 }, "schema" : "https://github.com/citation-style-language/schema/raw/master/csl-citation.json" }</w:instrText>
      </w:r>
      <w:r w:rsidR="00BB35FB">
        <w:fldChar w:fldCharType="separate"/>
      </w:r>
      <w:r w:rsidR="00BB35FB" w:rsidRPr="00032FE9">
        <w:rPr>
          <w:noProof/>
        </w:rPr>
        <w:t>(Francoli, Ostling, &amp; Steibel, 2015)</w:t>
      </w:r>
      <w:r w:rsidR="00BB35FB">
        <w:fldChar w:fldCharType="end"/>
      </w:r>
      <w:r w:rsidR="00BB35FB">
        <w:fldChar w:fldCharType="begin" w:fldLock="1"/>
      </w:r>
      <w:r w:rsidR="00BB35FB">
        <w:instrText>ADDIN CSL_CITATION { "citationItems" : [ { "id" : "ITEM-1", "itemData" : { "abstract" : "Daniel Berliner from Arizona State University for his paper on \u2018Ambitions and Realities in OGP Commitments: Analysis of Commitment Completion Across Countries using Hierarchical Models.\u2019 \u2022 Rafael E. Valenzuela from Universidad Aut\u00f3noma de Ciudad Ju\u00e1rez and J. Ignacio Criado and Edgar Ruvalcaba from Universidad Aut\u00f3noma de Madrid for their paper on \u2018Measuring the Impact of the Open Government Partnership in Member States using an Implementation Size Model.\u2019 \u2022 Sandra Elena from CIPPEC for her paper on \u2018Promoting Open Justice: Assessment of Justice-Related Commitments in OGP National Action Plans.\u2019 \u2022 Adegboyega Ojo, Niall \u00d3 Brolch\u00e1in, Edobor Osagie and Lukasz Porwol from the Insight Centre for Data Analytics, National University of Ireland Galway for their paper on \u2018How can Open Government Partnership members bridge the \u201cCommitment-Indicator\u201d Gap for greater Return on Investment?\u2019 \u2022 Vinay Bhargava and Sarah Little from the Partnership for Transparency Fund for their paper on \u2018Open Government Partnership and Sustainable Development Goal Number 16: Similarities and Differences.\u2019 \u2022 Vitus Azeem from the Ghana Integrity Initiative for his paper on \u2018A Comparative Study of the OGP National Action Plans of Participating African countries. The", "author" : [ { "dropping-particle" : "", "family" : "Idrc", "given" : "O G P", "non-dropping-particle" : "", "parse-names" : false, "suffix" : "" } ], "id" : "ITEM-1", "issued" : { "date-parts" : [ [ "2015" ] ] }, "page" : "2-3", "title" : "Advancing Open Government and Evaluating it's Impact: Research Papers by the Winners of the OGP IDRC Research Grant", "type" : "article-journal" }, "uris" : [ "http://www.mendeley.com/documents/?uuid=54c0b40e-588f-4d00-a619-93e98cda6bc3" ] } ], "mendeley" : { "formattedCitation" : "(Idrc, 2015)", "plainTextFormattedCitation" : "(Idrc, 2015)", "previouslyFormattedCitation" : "(Idrc, 2015)" }, "properties" : { "noteIndex" : 0 }, "schema" : "https://github.com/citation-style-language/schema/raw/master/csl-citation.json" }</w:instrText>
      </w:r>
      <w:r w:rsidR="00BB35FB">
        <w:fldChar w:fldCharType="separate"/>
      </w:r>
      <w:r w:rsidR="00BB35FB" w:rsidRPr="00D216B9">
        <w:rPr>
          <w:noProof/>
        </w:rPr>
        <w:t>(Idrc, 2015)</w:t>
      </w:r>
      <w:r w:rsidR="00BB35FB">
        <w:fldChar w:fldCharType="end"/>
      </w:r>
      <w:r w:rsidR="00BB35FB">
        <w:t>&lt;&lt;&lt;&lt;</w:t>
      </w:r>
    </w:p>
    <w:p w:rsidR="00BB35FB" w:rsidRDefault="00BB35FB" w:rsidP="00BB35FB">
      <w:pPr>
        <w:widowControl w:val="0"/>
        <w:autoSpaceDE w:val="0"/>
        <w:autoSpaceDN w:val="0"/>
        <w:adjustRightInd w:val="0"/>
        <w:ind w:left="480" w:hanging="480"/>
      </w:pPr>
    </w:p>
    <w:p w:rsidR="00835923" w:rsidRDefault="002B6537" w:rsidP="00835923">
      <w:pPr>
        <w:ind w:firstLine="720"/>
      </w:pPr>
      <w:r>
        <w:t xml:space="preserve">This paper is going to apply a </w:t>
      </w:r>
      <w:r w:rsidR="0013458D">
        <w:t>d</w:t>
      </w:r>
      <w:r w:rsidR="00F63EF0">
        <w:t xml:space="preserve">ifference-in-difference </w:t>
      </w:r>
      <w:r w:rsidR="00BB35FB">
        <w:t>method</w:t>
      </w:r>
      <w:r w:rsidR="0004082B">
        <w:t>,</w:t>
      </w:r>
      <w:r>
        <w:t xml:space="preserve"> </w:t>
      </w:r>
      <w:r w:rsidR="00F63EF0">
        <w:t xml:space="preserve">using </w:t>
      </w:r>
      <w:r w:rsidR="00F1147A">
        <w:t xml:space="preserve">time-series </w:t>
      </w:r>
      <w:r w:rsidR="00F63EF0">
        <w:t>c</w:t>
      </w:r>
      <w:r w:rsidR="00AD7872">
        <w:t>ountry level data from</w:t>
      </w:r>
      <w:r w:rsidR="00F63EF0">
        <w:t xml:space="preserve"> </w:t>
      </w:r>
      <w:r w:rsidR="0013458D">
        <w:t xml:space="preserve">multiple </w:t>
      </w:r>
      <w:r w:rsidR="00F63EF0">
        <w:t xml:space="preserve">accredited </w:t>
      </w:r>
      <w:r w:rsidR="0013458D">
        <w:t xml:space="preserve">data </w:t>
      </w:r>
      <w:r w:rsidR="00F63EF0">
        <w:t>sources</w:t>
      </w:r>
      <w:r w:rsidR="00EF76CD">
        <w:t>, in order to quantify</w:t>
      </w:r>
      <w:r w:rsidR="0004082B">
        <w:t xml:space="preserve"> the effect </w:t>
      </w:r>
      <w:r w:rsidR="00DC6994">
        <w:t xml:space="preserve">a more open </w:t>
      </w:r>
      <w:r w:rsidR="00EF76CD">
        <w:t xml:space="preserve">and transparent </w:t>
      </w:r>
      <w:r w:rsidR="00DC6994">
        <w:t>government</w:t>
      </w:r>
      <w:r w:rsidR="00220EDD">
        <w:t xml:space="preserve"> </w:t>
      </w:r>
      <w:r w:rsidR="00EF76CD">
        <w:t>h</w:t>
      </w:r>
      <w:r w:rsidR="00F1147A">
        <w:t>as on the trust and legitimacy between that country’s state and civil society.  T</w:t>
      </w:r>
      <w:r w:rsidR="00DF1455">
        <w:t xml:space="preserve">he difference-in-difference </w:t>
      </w:r>
      <w:r w:rsidR="00F1147A">
        <w:t>analytical framework is preferred</w:t>
      </w:r>
      <w:r w:rsidR="00DF1455">
        <w:t xml:space="preserve"> because </w:t>
      </w:r>
      <w:r w:rsidR="00E50590">
        <w:t xml:space="preserve">it </w:t>
      </w:r>
      <w:r w:rsidR="00276D00">
        <w:t xml:space="preserve">will definitively answer the question </w:t>
      </w:r>
      <w:r w:rsidR="00E50590">
        <w:t>by theoretically isolating and empirically quantifying the causal effect between the independent and dependent variables</w:t>
      </w:r>
      <w:r w:rsidR="008C02AD">
        <w:t>.  Additionall</w:t>
      </w:r>
      <w:r w:rsidR="00835923">
        <w:t>y, the difference-in-difference framework</w:t>
      </w:r>
      <w:r w:rsidR="0016524D">
        <w:t xml:space="preserve"> allows </w:t>
      </w:r>
      <w:r w:rsidR="00835923">
        <w:t xml:space="preserve">the </w:t>
      </w:r>
      <w:r w:rsidR="008C02AD">
        <w:t>research</w:t>
      </w:r>
      <w:r w:rsidR="00835923">
        <w:t xml:space="preserve"> and model</w:t>
      </w:r>
      <w:r w:rsidR="0016524D">
        <w:t xml:space="preserve"> to </w:t>
      </w:r>
      <w:r w:rsidR="008C02AD">
        <w:t xml:space="preserve">be scalable in terms of investigating the </w:t>
      </w:r>
      <w:r w:rsidR="003F49D2">
        <w:t>causal</w:t>
      </w:r>
      <w:r w:rsidR="008C02AD">
        <w:t xml:space="preserve"> relationship at many different </w:t>
      </w:r>
      <w:r w:rsidR="003F49D2">
        <w:t>levels</w:t>
      </w:r>
      <w:r w:rsidR="008C02AD">
        <w:t>.</w:t>
      </w:r>
    </w:p>
    <w:p w:rsidR="00B45504" w:rsidRDefault="003F49D2" w:rsidP="009A5213">
      <w:pPr>
        <w:ind w:firstLine="720"/>
      </w:pPr>
      <w:r>
        <w:t xml:space="preserve">The greatest challenge to inference rests in the choice of the </w:t>
      </w:r>
      <w:r w:rsidR="00093CF1">
        <w:t>control groups that will constitute as a valid</w:t>
      </w:r>
      <w:r w:rsidR="004A71F5">
        <w:t xml:space="preserve"> counterfactual to the countries that participate in the Open Government</w:t>
      </w:r>
      <w:r w:rsidR="00B11BE2">
        <w:t xml:space="preserve"> Partnership.  To combat this challenge our study will employ difference-in-difference analyses from the global and continental perspectives, using data collected from </w:t>
      </w:r>
      <w:r w:rsidR="00B11BE2">
        <w:lastRenderedPageBreak/>
        <w:t>more than 160 of the world’s 195</w:t>
      </w:r>
      <w:r w:rsidR="00393E10">
        <w:t xml:space="preserve"> countries, as a control group.  From the global perspective, all countries not participating in OGP will be used as a base control group, and from a continental perspective, all countries within each continent will be used as the control group to for the treatment group within that continent.</w:t>
      </w:r>
      <w:r w:rsidR="00824358">
        <w:t xml:space="preserve">  </w:t>
      </w:r>
      <w:r w:rsidR="00B45504">
        <w:t>As valid control group data sources surface, the scalability and applicability of the difference-in-difference approach will be considered (i.e.</w:t>
      </w:r>
      <w:r w:rsidR="009058ED">
        <w:t>:</w:t>
      </w:r>
      <w:r w:rsidR="00B45504">
        <w:t xml:space="preserve"> Can the model’s statistical integrity be supported with assumptions made at the country level?).</w:t>
      </w:r>
      <w:r w:rsidR="007E5045">
        <w:t xml:space="preserve">  Additionally, a comparative analysis of countries with similar statistical characteristics (i.e.</w:t>
      </w:r>
      <w:r w:rsidR="009058ED">
        <w:t>:</w:t>
      </w:r>
      <w:r w:rsidR="007E5045">
        <w:t xml:space="preserve"> GDP, population density, income per capita, and other theoretical variables that drive public trust) will be done in order to build a representative control group.</w:t>
      </w:r>
    </w:p>
    <w:p w:rsidR="009A131D" w:rsidRDefault="00824358" w:rsidP="00597B44">
      <w:pPr>
        <w:widowControl w:val="0"/>
        <w:autoSpaceDE w:val="0"/>
        <w:autoSpaceDN w:val="0"/>
        <w:adjustRightInd w:val="0"/>
        <w:ind w:firstLine="720"/>
      </w:pPr>
      <w:r>
        <w:t>As these diff</w:t>
      </w:r>
      <w:r w:rsidR="00093390">
        <w:t>erent</w:t>
      </w:r>
      <w:r>
        <w:t xml:space="preserve"> control groups are investigated, a synthetic control method will be applied in order to find the best combination of comparison units that represent the case of interest.  </w:t>
      </w:r>
      <w:r w:rsidR="00093390">
        <w:t>Although this method is not always</w:t>
      </w:r>
      <w:r w:rsidR="00E2104A">
        <w:t xml:space="preserve"> in</w:t>
      </w:r>
      <w:r w:rsidR="00093390">
        <w:t xml:space="preserve"> </w:t>
      </w:r>
      <w:r w:rsidR="00E2104A">
        <w:t>theor</w:t>
      </w:r>
      <w:r w:rsidR="00093390">
        <w:t xml:space="preserve">y economically ideal, </w:t>
      </w:r>
      <w:r w:rsidR="00E2104A">
        <w:t>this method does drastically improve this paper’s ability to investigate the causal relationship from a more “contextual” ideal</w:t>
      </w:r>
      <w:r w:rsidR="005F2094">
        <w:t xml:space="preserve"> </w:t>
      </w:r>
      <w:r w:rsidR="005F2094">
        <w:fldChar w:fldCharType="begin" w:fldLock="1"/>
      </w:r>
      <w:r w:rsidR="005F2094">
        <w:instrText>ADDIN CSL_CITATION { "citationItems" : [ { "id" : "ITEM-1",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In recent years, a widespread consensus has emerged about the necessity of establishing bridges between quantitative and qualitative approaches to empirical research in political science. In this article, we discuss the use of the synthetic control method as a way to bridge the quantitative/qualitative divide in comparative politics. The synthetic control method provides a systematic way to choose comparison units in comparative case studies. This systematization opens the door to precise quantitative inference in small-sample comparative studies, without precluding the application of qualitative approaches. Borrowing the expression from Sidney Tarrow, the synthetic control method allows researchers to put \"qualitative flesh on quantitative bones.\" We illustrate the main ideas behind the synthetic control method by estimating the economic impact of the 1990 German reunification on West Germany. Starting with Alexis de Toqueville's Democracy in As a result of a recent and important methodolog America, comparative case studies have become ical debate (Beck 2010; Brady and Collier 2004; George closely associated with empirical research in po-and Bennett 2005; King, Keohane, and Verba 1994; Ra litical science (Tarrow 2010). Comparative researchers gin 1987; Tarrow 1995), a widespread consensus has base their studies on meticulous description and anal-emerged about the necessity of establishing bridges be ysis of the characteristics of a small number of selected tween the quantitative and the qualitative approaches to cases, as well as of their differences and similarities. By empirical research in political science. In particular, there carefully studying a small number of cases, comparative have been calls for the development and use of quan researchers gather evidence at a level of granularity that titative methods that complement and facilitate qual is difficult if not impossible to incorporate in quantita-itative analysis in comparative studies (Gerring 2007; tive studies, which tend to focus on larger samples but Lieberman 2005; Sekhon 2004; Tarrow 1995, 2010). At employ much coarser descriptions of the sample units.1 t\u2026", "author" : [ { "dropping-particle" : "", "family" : "Abadie", "given" : "Alberto", "non-dropping-particle" : "", "parse-names" : false, "suffix" : "" }, { "dropping-particle" : "", "family" : "Diamond", "given" : "Alexis", "non-dropping-particle" : "", "parse-names" : false, "suffix" : "" }, { "dropping-particle" : "", "family" : "Hainmueller", "given" : "Jens", "non-dropping-particle" : "", "parse-names" : false, "suffix" : "" } ], "container-title" : "Source: American Journal of Political Science", "id" : "ITEM-1", "issue" : "2", "issued" : { "date-parts" : [ [ "2015" ] ] }, "page" : "495-510", "title" : "Comparative Politics and the Synthetic Control Method", "type" : "article-journal", "volume" : "59" }, "uris" : [ "http://www.mendeley.com/documents/?uuid=2ac09eda-3075-3fee-82a4-b88d48c183c0" ] } ], "mendeley" : { "formattedCitation" : "(Abadie, Diamond, &amp; Hainmueller, 2015)", "plainTextFormattedCitation" : "(Abadie, Diamond, &amp; Hainmueller, 2015)", "previouslyFormattedCitation" : "(Abadie, Diamond, &amp; Hainmueller, 2015)" }, "properties" : { "noteIndex" : 0 }, "schema" : "https://github.com/citation-style-language/schema/raw/master/csl-citation.json" }</w:instrText>
      </w:r>
      <w:r w:rsidR="005F2094">
        <w:fldChar w:fldCharType="separate"/>
      </w:r>
      <w:r w:rsidR="005F2094" w:rsidRPr="005F2094">
        <w:rPr>
          <w:noProof/>
        </w:rPr>
        <w:t>(Abadie, Diamond, &amp; Hainmueller, 2015)</w:t>
      </w:r>
      <w:r w:rsidR="005F2094">
        <w:fldChar w:fldCharType="end"/>
      </w:r>
      <w:r w:rsidR="00E2104A">
        <w:t>.  Identifying t</w:t>
      </w:r>
      <w:r w:rsidR="002E1F24">
        <w:t xml:space="preserve">hese contexts </w:t>
      </w:r>
      <w:r w:rsidR="00E2104A">
        <w:t>allow</w:t>
      </w:r>
      <w:r w:rsidR="002E1F24">
        <w:t>s</w:t>
      </w:r>
      <w:r w:rsidR="00E2104A">
        <w:t xml:space="preserve"> researchers to further investigate the specific</w:t>
      </w:r>
      <w:r w:rsidR="002E1F24">
        <w:t xml:space="preserve"> characteristics within the compared groups that allow for statistically significant casual results.  </w:t>
      </w:r>
    </w:p>
    <w:p w:rsidR="00B45504" w:rsidRDefault="009A131D" w:rsidP="009A131D">
      <w:pPr>
        <w:widowControl w:val="0"/>
        <w:autoSpaceDE w:val="0"/>
        <w:autoSpaceDN w:val="0"/>
        <w:adjustRightInd w:val="0"/>
        <w:ind w:firstLine="720"/>
      </w:pPr>
      <w:r>
        <w:t>Knowing these</w:t>
      </w:r>
      <w:r w:rsidR="002E1F24">
        <w:t xml:space="preserve"> specific characteristic</w:t>
      </w:r>
      <w:r>
        <w:t>s</w:t>
      </w:r>
      <w:r w:rsidR="002E1F24">
        <w:t xml:space="preserve"> will motivate more rigorous and statistically significant future research </w:t>
      </w:r>
      <w:r>
        <w:t xml:space="preserve">(i.e.: </w:t>
      </w:r>
      <w:r w:rsidR="002E1F24">
        <w:t>RCT in a specific area</w:t>
      </w:r>
      <w:r>
        <w:t>s that investigate</w:t>
      </w:r>
      <w:r w:rsidR="002E1F24">
        <w:t xml:space="preserve"> which control variables facilitate transparency variables that effect public trust.).</w:t>
      </w:r>
    </w:p>
    <w:p w:rsidR="00393E10" w:rsidRDefault="002E1F24" w:rsidP="009A5213">
      <w:pPr>
        <w:ind w:firstLine="720"/>
      </w:pPr>
      <w:r>
        <w:t xml:space="preserve">Additionally, the synthetic controls analysis will be used to test the </w:t>
      </w:r>
      <w:r w:rsidR="00393E10">
        <w:t>robustness to the dif</w:t>
      </w:r>
      <w:r>
        <w:t>ference-in-difference estimates.  If the results from different-in-d</w:t>
      </w:r>
      <w:r w:rsidR="009058ED">
        <w:t>ifference test are significant, then the synthetic controls analysis will yield similar weighted averages for that control group comparison.</w:t>
      </w:r>
    </w:p>
    <w:p w:rsidR="00F63EF0" w:rsidRDefault="00F63EF0" w:rsidP="009A5213"/>
    <w:p w:rsidR="00E5301D" w:rsidRDefault="00E5301D" w:rsidP="009A5213">
      <w:r>
        <w:rPr>
          <w:i/>
        </w:rPr>
        <w:t>E</w:t>
      </w:r>
      <w:r w:rsidRPr="00EC7F10">
        <w:rPr>
          <w:i/>
        </w:rPr>
        <w:t>xtent of generalizability</w:t>
      </w:r>
    </w:p>
    <w:p w:rsidR="00E5301D" w:rsidRDefault="00E5301D" w:rsidP="009A5213"/>
    <w:p w:rsidR="00E5301D" w:rsidRDefault="00E5301D" w:rsidP="009A5213"/>
    <w:p w:rsidR="00E5301D" w:rsidRDefault="00E5301D" w:rsidP="009A5213"/>
    <w:p w:rsidR="009058ED" w:rsidRPr="009058ED" w:rsidRDefault="00C06243" w:rsidP="009A5213">
      <w:pPr>
        <w:rPr>
          <w:i/>
        </w:rPr>
      </w:pPr>
      <w:r w:rsidRPr="009058ED">
        <w:rPr>
          <w:i/>
        </w:rPr>
        <w:t>Count</w:t>
      </w:r>
      <w:r w:rsidR="00B4030E">
        <w:rPr>
          <w:i/>
        </w:rPr>
        <w:t>ry or Regional Selection</w:t>
      </w:r>
    </w:p>
    <w:p w:rsidR="009058ED" w:rsidRDefault="009058ED" w:rsidP="009A5213"/>
    <w:p w:rsidR="009058ED" w:rsidRDefault="009058ED" w:rsidP="009A5213">
      <w:pPr>
        <w:ind w:firstLine="720"/>
      </w:pPr>
      <w:r>
        <w:t>In the initial worldwide analysis, the 77 countries participating in OGP will be the treatment group, and the 160+ countries that receive a value from Transparency International’s Corruption Perception Index (CPI) and participate in Gallup’s World Poll will be the control group.  Both of these relationships will be investigated separately in order to determine the effect of participating in OPG has on each of the dependent variables.</w:t>
      </w:r>
    </w:p>
    <w:p w:rsidR="00B4030E" w:rsidRDefault="00B4030E" w:rsidP="009A5213">
      <w:pPr>
        <w:ind w:firstLine="720"/>
      </w:pPr>
      <w:r>
        <w:t xml:space="preserve">After a complete overview difference-in-difference approach is applied to all countries using aggregate data, 5 to 10 countries will be chosen for a deeper, more inductive analysis, to investigate the causality of open government on that countries public trust.  Each country will have its own set of economic assumptions applied and each difference-in-difference model will be critiqued independently.  </w:t>
      </w:r>
    </w:p>
    <w:p w:rsidR="009058ED" w:rsidRDefault="009058ED" w:rsidP="009A5213"/>
    <w:p w:rsidR="00C06243" w:rsidRPr="009058ED" w:rsidRDefault="00B4030E" w:rsidP="009A5213">
      <w:pPr>
        <w:rPr>
          <w:i/>
        </w:rPr>
      </w:pPr>
      <w:r>
        <w:rPr>
          <w:i/>
        </w:rPr>
        <w:t>Anticipated Data S</w:t>
      </w:r>
      <w:r w:rsidR="00C06243" w:rsidRPr="009058ED">
        <w:rPr>
          <w:i/>
        </w:rPr>
        <w:t>ources</w:t>
      </w:r>
    </w:p>
    <w:p w:rsidR="009058ED" w:rsidRDefault="009058ED" w:rsidP="009A5213"/>
    <w:p w:rsidR="00B4030E" w:rsidRDefault="009058ED" w:rsidP="009A5213">
      <w:pPr>
        <w:ind w:firstLine="720"/>
      </w:pPr>
      <w:r>
        <w:t>The determinants of public trust and government legitimacy are not well understood.  Due to th</w:t>
      </w:r>
      <w:r w:rsidR="00836EEF">
        <w:t xml:space="preserve">is, this paper will use statistically significant corruption and “confidence in government” estimates developed from organizations at the forefront of transparency promotional industry.  The data sources will be Transparency International, the Gallup Poll, and the Open Government Partnership.  Both TI’s Corruption Perception </w:t>
      </w:r>
      <w:r w:rsidR="00836EEF">
        <w:lastRenderedPageBreak/>
        <w:t xml:space="preserve">Index (CPI) and variables from Gallup’s World Poll will be considered proxies for “public trust” in different ways.  These proxies will be used in separate difference-in-difference analyses.  </w:t>
      </w:r>
      <w:r w:rsidR="007E0FB0">
        <w:t>Using this data is appealing because there is adequate time before and after OPG’s introduction.  The annual time series data is as follows:</w:t>
      </w:r>
    </w:p>
    <w:p w:rsidR="00B4030E" w:rsidRDefault="00B4030E" w:rsidP="00E5301D"/>
    <w:p w:rsidR="00B4030E" w:rsidRDefault="00B4030E" w:rsidP="009A5213">
      <w:pPr>
        <w:ind w:firstLine="720"/>
      </w:pPr>
    </w:p>
    <w:tbl>
      <w:tblPr>
        <w:tblStyle w:val="TableGrid"/>
        <w:tblW w:w="0" w:type="auto"/>
        <w:jc w:val="center"/>
        <w:tblLook w:val="04A0" w:firstRow="1" w:lastRow="0" w:firstColumn="1" w:lastColumn="0" w:noHBand="0" w:noVBand="1"/>
      </w:tblPr>
      <w:tblGrid>
        <w:gridCol w:w="2762"/>
        <w:gridCol w:w="1553"/>
        <w:gridCol w:w="1776"/>
        <w:gridCol w:w="1707"/>
        <w:gridCol w:w="1670"/>
      </w:tblGrid>
      <w:tr w:rsidR="00741AE2" w:rsidRPr="007E0FB0" w:rsidTr="00B43813">
        <w:trPr>
          <w:trHeight w:val="233"/>
          <w:jc w:val="center"/>
        </w:trPr>
        <w:tc>
          <w:tcPr>
            <w:tcW w:w="9468" w:type="dxa"/>
            <w:gridSpan w:val="5"/>
            <w:vAlign w:val="center"/>
          </w:tcPr>
          <w:p w:rsidR="00741AE2" w:rsidRPr="00741AE2" w:rsidRDefault="00741AE2" w:rsidP="009A5213">
            <w:pPr>
              <w:rPr>
                <w:b/>
                <w:sz w:val="20"/>
                <w:szCs w:val="20"/>
              </w:rPr>
            </w:pPr>
            <w:r>
              <w:rPr>
                <w:b/>
                <w:sz w:val="20"/>
                <w:szCs w:val="20"/>
              </w:rPr>
              <w:t>Data Source Overview</w:t>
            </w:r>
          </w:p>
        </w:tc>
      </w:tr>
      <w:tr w:rsidR="00B43813" w:rsidRPr="007E0FB0" w:rsidTr="00E5301D">
        <w:trPr>
          <w:trHeight w:val="731"/>
          <w:jc w:val="center"/>
        </w:trPr>
        <w:tc>
          <w:tcPr>
            <w:tcW w:w="2762" w:type="dxa"/>
            <w:vAlign w:val="center"/>
          </w:tcPr>
          <w:p w:rsidR="00B43813" w:rsidRPr="00741AE2" w:rsidRDefault="00B43813" w:rsidP="00E5301D">
            <w:pPr>
              <w:jc w:val="center"/>
              <w:rPr>
                <w:sz w:val="20"/>
                <w:szCs w:val="20"/>
              </w:rPr>
            </w:pPr>
            <w:r w:rsidRPr="00741AE2">
              <w:rPr>
                <w:sz w:val="20"/>
                <w:szCs w:val="20"/>
              </w:rPr>
              <w:t>Data Source</w:t>
            </w:r>
          </w:p>
        </w:tc>
        <w:tc>
          <w:tcPr>
            <w:tcW w:w="1553" w:type="dxa"/>
            <w:vAlign w:val="center"/>
          </w:tcPr>
          <w:p w:rsidR="00B43813" w:rsidRPr="00741AE2" w:rsidRDefault="00B43813" w:rsidP="00E5301D">
            <w:pPr>
              <w:jc w:val="center"/>
              <w:rPr>
                <w:sz w:val="20"/>
                <w:szCs w:val="20"/>
              </w:rPr>
            </w:pPr>
            <w:r w:rsidRPr="00741AE2">
              <w:rPr>
                <w:sz w:val="20"/>
                <w:szCs w:val="20"/>
              </w:rPr>
              <w:t>Start Year</w:t>
            </w:r>
          </w:p>
        </w:tc>
        <w:tc>
          <w:tcPr>
            <w:tcW w:w="1776" w:type="dxa"/>
            <w:vAlign w:val="center"/>
          </w:tcPr>
          <w:p w:rsidR="00B43813" w:rsidRPr="00741AE2" w:rsidRDefault="00B43813" w:rsidP="00E5301D">
            <w:pPr>
              <w:jc w:val="center"/>
              <w:rPr>
                <w:sz w:val="20"/>
                <w:szCs w:val="20"/>
              </w:rPr>
            </w:pPr>
            <w:r w:rsidRPr="00741AE2">
              <w:rPr>
                <w:sz w:val="20"/>
                <w:szCs w:val="20"/>
              </w:rPr>
              <w:t>Most Recent Updated Year</w:t>
            </w:r>
          </w:p>
        </w:tc>
        <w:tc>
          <w:tcPr>
            <w:tcW w:w="1707" w:type="dxa"/>
            <w:vAlign w:val="center"/>
          </w:tcPr>
          <w:p w:rsidR="00B43813" w:rsidRPr="00741AE2" w:rsidRDefault="00B43813" w:rsidP="00E5301D">
            <w:pPr>
              <w:jc w:val="center"/>
              <w:rPr>
                <w:sz w:val="20"/>
                <w:szCs w:val="20"/>
              </w:rPr>
            </w:pPr>
            <w:r w:rsidRPr="00741AE2">
              <w:rPr>
                <w:sz w:val="20"/>
                <w:szCs w:val="20"/>
              </w:rPr>
              <w:t>Unit</w:t>
            </w:r>
          </w:p>
        </w:tc>
        <w:tc>
          <w:tcPr>
            <w:tcW w:w="1670" w:type="dxa"/>
            <w:vAlign w:val="center"/>
          </w:tcPr>
          <w:p w:rsidR="00B43813" w:rsidRPr="00741AE2" w:rsidRDefault="00B43813" w:rsidP="00E5301D">
            <w:pPr>
              <w:jc w:val="center"/>
              <w:rPr>
                <w:sz w:val="20"/>
                <w:szCs w:val="20"/>
              </w:rPr>
            </w:pPr>
            <w:r w:rsidRPr="00741AE2">
              <w:rPr>
                <w:sz w:val="20"/>
                <w:szCs w:val="20"/>
              </w:rPr>
              <w:t>Can it be converted easily?</w:t>
            </w:r>
          </w:p>
        </w:tc>
      </w:tr>
      <w:tr w:rsidR="00B43813" w:rsidRPr="007E0FB0" w:rsidTr="00E5301D">
        <w:trPr>
          <w:trHeight w:val="482"/>
          <w:jc w:val="center"/>
        </w:trPr>
        <w:tc>
          <w:tcPr>
            <w:tcW w:w="2762" w:type="dxa"/>
            <w:vAlign w:val="center"/>
          </w:tcPr>
          <w:p w:rsidR="00B43813" w:rsidRPr="00741AE2" w:rsidRDefault="00B43813" w:rsidP="00E5301D">
            <w:pPr>
              <w:jc w:val="center"/>
              <w:rPr>
                <w:sz w:val="20"/>
                <w:szCs w:val="20"/>
              </w:rPr>
            </w:pPr>
            <w:r w:rsidRPr="00741AE2">
              <w:rPr>
                <w:sz w:val="20"/>
                <w:szCs w:val="20"/>
              </w:rPr>
              <w:t>Transparency International</w:t>
            </w:r>
          </w:p>
        </w:tc>
        <w:tc>
          <w:tcPr>
            <w:tcW w:w="1553" w:type="dxa"/>
            <w:vAlign w:val="center"/>
          </w:tcPr>
          <w:p w:rsidR="00B43813" w:rsidRPr="00741AE2" w:rsidRDefault="00B43813" w:rsidP="00E5301D">
            <w:pPr>
              <w:jc w:val="center"/>
              <w:rPr>
                <w:sz w:val="20"/>
                <w:szCs w:val="20"/>
              </w:rPr>
            </w:pPr>
            <w:r w:rsidRPr="00741AE2">
              <w:rPr>
                <w:sz w:val="20"/>
                <w:szCs w:val="20"/>
              </w:rPr>
              <w:t>1995</w:t>
            </w:r>
          </w:p>
        </w:tc>
        <w:tc>
          <w:tcPr>
            <w:tcW w:w="1776" w:type="dxa"/>
            <w:vAlign w:val="center"/>
          </w:tcPr>
          <w:p w:rsidR="00B43813" w:rsidRPr="00741AE2" w:rsidRDefault="00B43813" w:rsidP="00E5301D">
            <w:pPr>
              <w:jc w:val="center"/>
              <w:rPr>
                <w:sz w:val="20"/>
                <w:szCs w:val="20"/>
              </w:rPr>
            </w:pPr>
            <w:r w:rsidRPr="00741AE2">
              <w:rPr>
                <w:sz w:val="20"/>
                <w:szCs w:val="20"/>
              </w:rPr>
              <w:t>2015</w:t>
            </w:r>
          </w:p>
        </w:tc>
        <w:tc>
          <w:tcPr>
            <w:tcW w:w="1707" w:type="dxa"/>
            <w:vAlign w:val="center"/>
          </w:tcPr>
          <w:p w:rsidR="00B43813" w:rsidRPr="00741AE2" w:rsidRDefault="00B43813" w:rsidP="00E5301D">
            <w:pPr>
              <w:jc w:val="center"/>
              <w:rPr>
                <w:sz w:val="20"/>
                <w:szCs w:val="20"/>
              </w:rPr>
            </w:pPr>
            <w:r w:rsidRPr="00741AE2">
              <w:rPr>
                <w:sz w:val="20"/>
                <w:szCs w:val="20"/>
              </w:rPr>
              <w:t>Scale (10 pt. and 100 pt.)</w:t>
            </w:r>
          </w:p>
        </w:tc>
        <w:tc>
          <w:tcPr>
            <w:tcW w:w="1670" w:type="dxa"/>
            <w:vAlign w:val="center"/>
          </w:tcPr>
          <w:p w:rsidR="00B43813" w:rsidRPr="00741AE2" w:rsidRDefault="00B43813" w:rsidP="00E5301D">
            <w:pPr>
              <w:jc w:val="center"/>
              <w:rPr>
                <w:sz w:val="20"/>
                <w:szCs w:val="20"/>
              </w:rPr>
            </w:pPr>
            <w:r w:rsidRPr="00741AE2">
              <w:rPr>
                <w:sz w:val="20"/>
                <w:szCs w:val="20"/>
              </w:rPr>
              <w:t>Yes</w:t>
            </w:r>
          </w:p>
        </w:tc>
      </w:tr>
      <w:tr w:rsidR="00B43813" w:rsidRPr="007E0FB0" w:rsidTr="00E5301D">
        <w:trPr>
          <w:trHeight w:val="249"/>
          <w:jc w:val="center"/>
        </w:trPr>
        <w:tc>
          <w:tcPr>
            <w:tcW w:w="2762" w:type="dxa"/>
            <w:vAlign w:val="center"/>
          </w:tcPr>
          <w:p w:rsidR="00B43813" w:rsidRPr="00741AE2" w:rsidRDefault="00B43813" w:rsidP="00E5301D">
            <w:pPr>
              <w:jc w:val="center"/>
              <w:rPr>
                <w:sz w:val="20"/>
                <w:szCs w:val="20"/>
              </w:rPr>
            </w:pPr>
            <w:r w:rsidRPr="00741AE2">
              <w:rPr>
                <w:sz w:val="20"/>
                <w:szCs w:val="20"/>
              </w:rPr>
              <w:t>Gallup</w:t>
            </w:r>
          </w:p>
        </w:tc>
        <w:tc>
          <w:tcPr>
            <w:tcW w:w="1553" w:type="dxa"/>
            <w:vAlign w:val="center"/>
          </w:tcPr>
          <w:p w:rsidR="00B43813" w:rsidRPr="00741AE2" w:rsidRDefault="00B43813" w:rsidP="00E5301D">
            <w:pPr>
              <w:jc w:val="center"/>
              <w:rPr>
                <w:sz w:val="20"/>
                <w:szCs w:val="20"/>
              </w:rPr>
            </w:pPr>
            <w:r w:rsidRPr="00741AE2">
              <w:rPr>
                <w:sz w:val="20"/>
                <w:szCs w:val="20"/>
              </w:rPr>
              <w:t>2006</w:t>
            </w:r>
          </w:p>
        </w:tc>
        <w:tc>
          <w:tcPr>
            <w:tcW w:w="1776" w:type="dxa"/>
            <w:vAlign w:val="center"/>
          </w:tcPr>
          <w:p w:rsidR="00B43813" w:rsidRPr="00741AE2" w:rsidRDefault="00B43813" w:rsidP="00E5301D">
            <w:pPr>
              <w:jc w:val="center"/>
              <w:rPr>
                <w:sz w:val="20"/>
                <w:szCs w:val="20"/>
              </w:rPr>
            </w:pPr>
            <w:r w:rsidRPr="00741AE2">
              <w:rPr>
                <w:sz w:val="20"/>
                <w:szCs w:val="20"/>
              </w:rPr>
              <w:t>2015</w:t>
            </w:r>
          </w:p>
        </w:tc>
        <w:tc>
          <w:tcPr>
            <w:tcW w:w="1707" w:type="dxa"/>
            <w:vAlign w:val="center"/>
          </w:tcPr>
          <w:p w:rsidR="00B43813" w:rsidRPr="00741AE2" w:rsidRDefault="00B43813" w:rsidP="00E5301D">
            <w:pPr>
              <w:jc w:val="center"/>
              <w:rPr>
                <w:sz w:val="20"/>
                <w:szCs w:val="20"/>
              </w:rPr>
            </w:pPr>
            <w:r w:rsidRPr="00741AE2">
              <w:rPr>
                <w:sz w:val="20"/>
                <w:szCs w:val="20"/>
              </w:rPr>
              <w:t>Percentage</w:t>
            </w:r>
          </w:p>
        </w:tc>
        <w:tc>
          <w:tcPr>
            <w:tcW w:w="1670" w:type="dxa"/>
            <w:vAlign w:val="center"/>
          </w:tcPr>
          <w:p w:rsidR="00B43813" w:rsidRPr="00741AE2" w:rsidRDefault="00B43813" w:rsidP="00E5301D">
            <w:pPr>
              <w:jc w:val="center"/>
              <w:rPr>
                <w:sz w:val="20"/>
                <w:szCs w:val="20"/>
              </w:rPr>
            </w:pPr>
            <w:r w:rsidRPr="00741AE2">
              <w:rPr>
                <w:sz w:val="20"/>
                <w:szCs w:val="20"/>
              </w:rPr>
              <w:t>Yes</w:t>
            </w:r>
          </w:p>
        </w:tc>
      </w:tr>
      <w:tr w:rsidR="00B43813" w:rsidRPr="007E0FB0" w:rsidTr="00E5301D">
        <w:trPr>
          <w:trHeight w:val="249"/>
          <w:jc w:val="center"/>
        </w:trPr>
        <w:tc>
          <w:tcPr>
            <w:tcW w:w="2762" w:type="dxa"/>
            <w:vAlign w:val="center"/>
          </w:tcPr>
          <w:p w:rsidR="00B43813" w:rsidRPr="00741AE2" w:rsidRDefault="00B43813" w:rsidP="00E5301D">
            <w:pPr>
              <w:jc w:val="center"/>
              <w:rPr>
                <w:sz w:val="20"/>
                <w:szCs w:val="20"/>
              </w:rPr>
            </w:pPr>
            <w:r w:rsidRPr="00741AE2">
              <w:rPr>
                <w:sz w:val="20"/>
                <w:szCs w:val="20"/>
              </w:rPr>
              <w:t>OGP</w:t>
            </w:r>
          </w:p>
        </w:tc>
        <w:tc>
          <w:tcPr>
            <w:tcW w:w="1553" w:type="dxa"/>
            <w:vAlign w:val="center"/>
          </w:tcPr>
          <w:p w:rsidR="00B43813" w:rsidRPr="00741AE2" w:rsidRDefault="00B43813" w:rsidP="00E5301D">
            <w:pPr>
              <w:jc w:val="center"/>
              <w:rPr>
                <w:sz w:val="20"/>
                <w:szCs w:val="20"/>
              </w:rPr>
            </w:pPr>
            <w:r w:rsidRPr="00741AE2">
              <w:rPr>
                <w:sz w:val="20"/>
                <w:szCs w:val="20"/>
              </w:rPr>
              <w:t>2010</w:t>
            </w:r>
          </w:p>
        </w:tc>
        <w:tc>
          <w:tcPr>
            <w:tcW w:w="1776" w:type="dxa"/>
            <w:vAlign w:val="center"/>
          </w:tcPr>
          <w:p w:rsidR="00B43813" w:rsidRPr="00741AE2" w:rsidRDefault="00B43813" w:rsidP="00E5301D">
            <w:pPr>
              <w:jc w:val="center"/>
              <w:rPr>
                <w:sz w:val="20"/>
                <w:szCs w:val="20"/>
              </w:rPr>
            </w:pPr>
            <w:r w:rsidRPr="00741AE2">
              <w:rPr>
                <w:sz w:val="20"/>
                <w:szCs w:val="20"/>
              </w:rPr>
              <w:t>2015</w:t>
            </w:r>
          </w:p>
        </w:tc>
        <w:tc>
          <w:tcPr>
            <w:tcW w:w="1707" w:type="dxa"/>
            <w:vAlign w:val="center"/>
          </w:tcPr>
          <w:p w:rsidR="00B43813" w:rsidRPr="00741AE2" w:rsidRDefault="00B43813" w:rsidP="00E5301D">
            <w:pPr>
              <w:jc w:val="center"/>
              <w:rPr>
                <w:sz w:val="20"/>
                <w:szCs w:val="20"/>
              </w:rPr>
            </w:pPr>
            <w:r w:rsidRPr="00741AE2">
              <w:rPr>
                <w:sz w:val="20"/>
                <w:szCs w:val="20"/>
              </w:rPr>
              <w:t>Binary</w:t>
            </w:r>
          </w:p>
        </w:tc>
        <w:tc>
          <w:tcPr>
            <w:tcW w:w="1670" w:type="dxa"/>
            <w:vAlign w:val="center"/>
          </w:tcPr>
          <w:p w:rsidR="00B43813" w:rsidRPr="00741AE2" w:rsidRDefault="00B43813" w:rsidP="00E5301D">
            <w:pPr>
              <w:jc w:val="center"/>
              <w:rPr>
                <w:sz w:val="20"/>
                <w:szCs w:val="20"/>
              </w:rPr>
            </w:pPr>
            <w:r w:rsidRPr="00741AE2">
              <w:rPr>
                <w:sz w:val="20"/>
                <w:szCs w:val="20"/>
              </w:rPr>
              <w:t>Yes</w:t>
            </w:r>
          </w:p>
        </w:tc>
      </w:tr>
      <w:tr w:rsidR="00B43813" w:rsidRPr="007E0FB0" w:rsidTr="00E5301D">
        <w:trPr>
          <w:trHeight w:val="482"/>
          <w:jc w:val="center"/>
        </w:trPr>
        <w:tc>
          <w:tcPr>
            <w:tcW w:w="2762" w:type="dxa"/>
            <w:vAlign w:val="center"/>
          </w:tcPr>
          <w:p w:rsidR="00B43813" w:rsidRPr="00741AE2" w:rsidRDefault="00B43813" w:rsidP="00E5301D">
            <w:pPr>
              <w:jc w:val="center"/>
              <w:rPr>
                <w:sz w:val="20"/>
                <w:szCs w:val="20"/>
              </w:rPr>
            </w:pPr>
            <w:r>
              <w:rPr>
                <w:sz w:val="20"/>
                <w:szCs w:val="20"/>
              </w:rPr>
              <w:t>World Bank</w:t>
            </w:r>
          </w:p>
        </w:tc>
        <w:tc>
          <w:tcPr>
            <w:tcW w:w="1553" w:type="dxa"/>
            <w:vAlign w:val="center"/>
          </w:tcPr>
          <w:p w:rsidR="00B43813" w:rsidRPr="00741AE2" w:rsidRDefault="00B43813" w:rsidP="00E5301D">
            <w:pPr>
              <w:jc w:val="center"/>
              <w:rPr>
                <w:sz w:val="20"/>
                <w:szCs w:val="20"/>
              </w:rPr>
            </w:pPr>
            <w:r>
              <w:rPr>
                <w:sz w:val="20"/>
                <w:szCs w:val="20"/>
              </w:rPr>
              <w:t>1995</w:t>
            </w:r>
          </w:p>
        </w:tc>
        <w:tc>
          <w:tcPr>
            <w:tcW w:w="1776" w:type="dxa"/>
            <w:vAlign w:val="center"/>
          </w:tcPr>
          <w:p w:rsidR="00B43813" w:rsidRPr="00741AE2" w:rsidRDefault="00B43813" w:rsidP="00E5301D">
            <w:pPr>
              <w:jc w:val="center"/>
              <w:rPr>
                <w:sz w:val="20"/>
                <w:szCs w:val="20"/>
              </w:rPr>
            </w:pPr>
            <w:r>
              <w:rPr>
                <w:sz w:val="20"/>
                <w:szCs w:val="20"/>
              </w:rPr>
              <w:t>2015</w:t>
            </w:r>
          </w:p>
        </w:tc>
        <w:tc>
          <w:tcPr>
            <w:tcW w:w="1707" w:type="dxa"/>
            <w:vAlign w:val="center"/>
          </w:tcPr>
          <w:p w:rsidR="00B43813" w:rsidRPr="00741AE2" w:rsidRDefault="00B43813" w:rsidP="00E5301D">
            <w:pPr>
              <w:jc w:val="center"/>
              <w:rPr>
                <w:sz w:val="20"/>
                <w:szCs w:val="20"/>
              </w:rPr>
            </w:pPr>
            <w:r>
              <w:rPr>
                <w:sz w:val="20"/>
                <w:szCs w:val="20"/>
              </w:rPr>
              <w:t>Varies (Basic Controls)</w:t>
            </w:r>
          </w:p>
        </w:tc>
        <w:tc>
          <w:tcPr>
            <w:tcW w:w="1670" w:type="dxa"/>
            <w:vAlign w:val="center"/>
          </w:tcPr>
          <w:p w:rsidR="00B43813" w:rsidRPr="00741AE2" w:rsidRDefault="00B43813" w:rsidP="00E5301D">
            <w:pPr>
              <w:jc w:val="center"/>
              <w:rPr>
                <w:sz w:val="20"/>
                <w:szCs w:val="20"/>
              </w:rPr>
            </w:pPr>
            <w:r>
              <w:rPr>
                <w:sz w:val="20"/>
                <w:szCs w:val="20"/>
              </w:rPr>
              <w:t>Yes</w:t>
            </w:r>
          </w:p>
        </w:tc>
      </w:tr>
    </w:tbl>
    <w:p w:rsidR="00741AE2" w:rsidRDefault="00741AE2" w:rsidP="009A5213">
      <w:pPr>
        <w:rPr>
          <w:u w:val="single"/>
        </w:rPr>
      </w:pPr>
    </w:p>
    <w:p w:rsidR="00741AE2" w:rsidRPr="00741AE2" w:rsidRDefault="00741AE2" w:rsidP="009A5213">
      <w:r>
        <w:t xml:space="preserve">Additionally, a rigorous literature and data base review will be conducted in </w:t>
      </w:r>
      <w:r w:rsidR="00B4030E">
        <w:t>tandem with the</w:t>
      </w:r>
      <w:r>
        <w:t xml:space="preserve"> </w:t>
      </w:r>
      <w:r w:rsidR="00B4030E">
        <w:t>OGP’s Review Committee.</w:t>
      </w:r>
    </w:p>
    <w:p w:rsidR="00741AE2" w:rsidRDefault="00741AE2" w:rsidP="009A5213">
      <w:pPr>
        <w:rPr>
          <w:u w:val="single"/>
        </w:rPr>
      </w:pPr>
    </w:p>
    <w:p w:rsidR="00B4030E" w:rsidRDefault="00B4030E" w:rsidP="009A5213">
      <w:pPr>
        <w:rPr>
          <w:u w:val="single"/>
        </w:rPr>
      </w:pPr>
    </w:p>
    <w:p w:rsidR="00C06243" w:rsidRPr="00741AE2" w:rsidRDefault="00C06243" w:rsidP="009A5213">
      <w:pPr>
        <w:rPr>
          <w:u w:val="single"/>
        </w:rPr>
      </w:pPr>
      <w:r>
        <w:rPr>
          <w:u w:val="single"/>
        </w:rPr>
        <w:t>Project Plan</w:t>
      </w:r>
    </w:p>
    <w:p w:rsidR="00C06243" w:rsidRDefault="00C06243" w:rsidP="009A5213"/>
    <w:p w:rsidR="00741AE2" w:rsidRDefault="00625F5E" w:rsidP="009A5213">
      <w:pPr>
        <w:pStyle w:val="ListParagraph"/>
        <w:numPr>
          <w:ilvl w:val="0"/>
          <w:numId w:val="9"/>
        </w:numPr>
      </w:pPr>
      <w:r>
        <w:t xml:space="preserve">July 17 – July 31, 2017:  Literary review, clean data, and fine tune research </w:t>
      </w:r>
    </w:p>
    <w:p w:rsidR="00741AE2" w:rsidRDefault="00625F5E" w:rsidP="009A5213">
      <w:pPr>
        <w:pStyle w:val="ListParagraph"/>
        <w:numPr>
          <w:ilvl w:val="0"/>
          <w:numId w:val="9"/>
        </w:numPr>
      </w:pPr>
      <w:r>
        <w:t>Aug 1</w:t>
      </w:r>
      <w:r w:rsidR="00741AE2">
        <w:t>, 2017</w:t>
      </w:r>
      <w:r>
        <w:t>:</w:t>
      </w:r>
      <w:r w:rsidR="00741AE2">
        <w:tab/>
        <w:t>Successful applicants notified</w:t>
      </w:r>
    </w:p>
    <w:p w:rsidR="00741AE2" w:rsidRDefault="00741AE2" w:rsidP="009A5213">
      <w:pPr>
        <w:pStyle w:val="ListParagraph"/>
        <w:numPr>
          <w:ilvl w:val="0"/>
          <w:numId w:val="9"/>
        </w:numPr>
      </w:pPr>
      <w:r>
        <w:t>Aug 2-16, 2017</w:t>
      </w:r>
      <w:r w:rsidR="00625F5E">
        <w:t xml:space="preserve">:  Work with </w:t>
      </w:r>
      <w:r>
        <w:t>review committee to fine tune the research approach and project plan, identify and plan outreach to relevant stakeholders</w:t>
      </w:r>
    </w:p>
    <w:p w:rsidR="00741AE2" w:rsidRDefault="00B4030E" w:rsidP="009A5213">
      <w:pPr>
        <w:pStyle w:val="ListParagraph"/>
        <w:numPr>
          <w:ilvl w:val="0"/>
          <w:numId w:val="9"/>
        </w:numPr>
      </w:pPr>
      <w:r>
        <w:t xml:space="preserve">Aug 17 - Sep 29, 2017:  </w:t>
      </w:r>
      <w:r w:rsidR="00741AE2">
        <w:t>Research</w:t>
      </w:r>
    </w:p>
    <w:p w:rsidR="00741AE2" w:rsidRDefault="00B4030E" w:rsidP="009A5213">
      <w:pPr>
        <w:pStyle w:val="ListParagraph"/>
        <w:numPr>
          <w:ilvl w:val="0"/>
          <w:numId w:val="9"/>
        </w:numPr>
      </w:pPr>
      <w:r>
        <w:t xml:space="preserve">Oct 2, 2017:  </w:t>
      </w:r>
      <w:r w:rsidR="00625F5E">
        <w:t>Submit first draft of paper</w:t>
      </w:r>
    </w:p>
    <w:p w:rsidR="00741AE2" w:rsidRDefault="00B4030E" w:rsidP="009A5213">
      <w:pPr>
        <w:pStyle w:val="ListParagraph"/>
        <w:numPr>
          <w:ilvl w:val="0"/>
          <w:numId w:val="9"/>
        </w:numPr>
      </w:pPr>
      <w:r>
        <w:t xml:space="preserve">Oct 16, 2017:  </w:t>
      </w:r>
      <w:r w:rsidR="00625F5E">
        <w:t>Receive feedback on provided paper</w:t>
      </w:r>
    </w:p>
    <w:p w:rsidR="00741AE2" w:rsidRDefault="00B4030E" w:rsidP="009A5213">
      <w:pPr>
        <w:pStyle w:val="ListParagraph"/>
        <w:numPr>
          <w:ilvl w:val="0"/>
          <w:numId w:val="9"/>
        </w:numPr>
      </w:pPr>
      <w:r>
        <w:t>Nov 9, 2017:  Submit final draft</w:t>
      </w:r>
    </w:p>
    <w:p w:rsidR="00741AE2" w:rsidRDefault="00B4030E" w:rsidP="009A5213">
      <w:pPr>
        <w:pStyle w:val="ListParagraph"/>
        <w:numPr>
          <w:ilvl w:val="0"/>
          <w:numId w:val="9"/>
        </w:numPr>
      </w:pPr>
      <w:r>
        <w:t xml:space="preserve">Nov 20-23, 2017:  </w:t>
      </w:r>
      <w:r w:rsidR="00741AE2">
        <w:t>OGP Regional Meeting in Argentina and possible launch of papers</w:t>
      </w:r>
    </w:p>
    <w:p w:rsidR="00741AE2" w:rsidRDefault="00741AE2" w:rsidP="009A5213"/>
    <w:p w:rsidR="00741AE2" w:rsidRDefault="00741AE2" w:rsidP="009A5213"/>
    <w:p w:rsidR="00C06243" w:rsidRPr="00C06243" w:rsidRDefault="00C06243" w:rsidP="009A5213">
      <w:pPr>
        <w:rPr>
          <w:u w:val="single"/>
        </w:rPr>
      </w:pPr>
      <w:r w:rsidRPr="00C06243">
        <w:rPr>
          <w:u w:val="single"/>
        </w:rPr>
        <w:t>Research team profile, including qualifications, track record and organizational capacities</w:t>
      </w:r>
    </w:p>
    <w:p w:rsidR="00C06243" w:rsidRPr="00C06243" w:rsidRDefault="00C06243" w:rsidP="009A5213">
      <w:pPr>
        <w:rPr>
          <w:u w:val="single"/>
        </w:rPr>
      </w:pPr>
    </w:p>
    <w:p w:rsidR="00E2186C" w:rsidRDefault="00B4030E" w:rsidP="009A5213">
      <w:r>
        <w:t xml:space="preserve">Dr. </w:t>
      </w:r>
      <w:proofErr w:type="spellStart"/>
      <w:r>
        <w:t>Tauhid</w:t>
      </w:r>
      <w:proofErr w:type="spellEnd"/>
      <w:r>
        <w:t xml:space="preserve"> Rahman</w:t>
      </w:r>
    </w:p>
    <w:p w:rsidR="00B4030E" w:rsidRDefault="00B4030E" w:rsidP="009A5213"/>
    <w:p w:rsidR="00B4030E" w:rsidRDefault="00B4030E" w:rsidP="009A5213">
      <w:r>
        <w:t>Joe Navelski</w:t>
      </w:r>
    </w:p>
    <w:p w:rsidR="00EC7F10" w:rsidRDefault="00EC7F10" w:rsidP="009A5213"/>
    <w:p w:rsidR="008B015D" w:rsidRDefault="008B015D" w:rsidP="009A5213">
      <w:r>
        <w:t>Intern?</w:t>
      </w:r>
    </w:p>
    <w:p w:rsidR="00D216B9" w:rsidRDefault="00D216B9" w:rsidP="003A164B">
      <w:pPr>
        <w:rPr>
          <w:u w:val="single"/>
        </w:rPr>
      </w:pPr>
    </w:p>
    <w:p w:rsidR="00D216B9" w:rsidRDefault="00D216B9" w:rsidP="003A164B">
      <w:pPr>
        <w:rPr>
          <w:u w:val="single"/>
        </w:rPr>
      </w:pPr>
    </w:p>
    <w:p w:rsidR="00D216B9" w:rsidRDefault="00D216B9" w:rsidP="003A164B">
      <w:pPr>
        <w:rPr>
          <w:u w:val="single"/>
        </w:rPr>
      </w:pPr>
    </w:p>
    <w:p w:rsidR="00204BB4" w:rsidRDefault="00204BB4" w:rsidP="003A164B">
      <w:pPr>
        <w:rPr>
          <w:u w:val="single"/>
        </w:rPr>
      </w:pPr>
    </w:p>
    <w:p w:rsidR="00A017A8" w:rsidRPr="005F2094" w:rsidRDefault="00A017A8" w:rsidP="003A164B">
      <w:pPr>
        <w:rPr>
          <w:u w:val="single"/>
        </w:rPr>
      </w:pPr>
      <w:r w:rsidRPr="00A017A8">
        <w:rPr>
          <w:u w:val="single"/>
        </w:rPr>
        <w:t>Bibliography</w:t>
      </w:r>
    </w:p>
    <w:p w:rsidR="00EC7F10" w:rsidRDefault="00EC7F10" w:rsidP="003A164B">
      <w:pPr>
        <w:rPr>
          <w:b/>
          <w:bCs/>
        </w:rPr>
      </w:pPr>
    </w:p>
    <w:p w:rsidR="008F0922" w:rsidRPr="008F0922" w:rsidRDefault="00D216B9" w:rsidP="008F0922">
      <w:pPr>
        <w:widowControl w:val="0"/>
        <w:autoSpaceDE w:val="0"/>
        <w:autoSpaceDN w:val="0"/>
        <w:adjustRightInd w:val="0"/>
        <w:ind w:left="480" w:hanging="480"/>
        <w:rPr>
          <w:rFonts w:ascii="Cambria" w:hAnsi="Cambria"/>
          <w:noProof/>
        </w:rPr>
      </w:pPr>
      <w:r>
        <w:rPr>
          <w:b/>
          <w:bCs/>
        </w:rPr>
        <w:fldChar w:fldCharType="begin" w:fldLock="1"/>
      </w:r>
      <w:r>
        <w:rPr>
          <w:b/>
          <w:bCs/>
        </w:rPr>
        <w:instrText xml:space="preserve">ADDIN Mendeley Bibliography CSL_BIBLIOGRAPHY </w:instrText>
      </w:r>
      <w:r>
        <w:rPr>
          <w:b/>
          <w:bCs/>
        </w:rPr>
        <w:fldChar w:fldCharType="separate"/>
      </w:r>
      <w:r w:rsidR="008F0922" w:rsidRPr="008F0922">
        <w:rPr>
          <w:rFonts w:ascii="Cambria" w:hAnsi="Cambria"/>
          <w:noProof/>
        </w:rPr>
        <w:t xml:space="preserve">Abadie, A., Diamond, A., &amp; Hainmueller, J. (2015). Comparative Politics and the Synthetic Control Method. </w:t>
      </w:r>
      <w:r w:rsidR="008F0922" w:rsidRPr="008F0922">
        <w:rPr>
          <w:rFonts w:ascii="Cambria" w:hAnsi="Cambria"/>
          <w:i/>
          <w:iCs/>
          <w:noProof/>
        </w:rPr>
        <w:t>Source: American Journal of Political Science</w:t>
      </w:r>
      <w:r w:rsidR="008F0922" w:rsidRPr="008F0922">
        <w:rPr>
          <w:rFonts w:ascii="Cambria" w:hAnsi="Cambria"/>
          <w:noProof/>
        </w:rPr>
        <w:t xml:space="preserve">, </w:t>
      </w:r>
      <w:r w:rsidR="008F0922" w:rsidRPr="008F0922">
        <w:rPr>
          <w:rFonts w:ascii="Cambria" w:hAnsi="Cambria"/>
          <w:i/>
          <w:iCs/>
          <w:noProof/>
        </w:rPr>
        <w:t>59</w:t>
      </w:r>
      <w:r w:rsidR="008F0922" w:rsidRPr="008F0922">
        <w:rPr>
          <w:rFonts w:ascii="Cambria" w:hAnsi="Cambria"/>
          <w:noProof/>
        </w:rPr>
        <w:t>(2), 495–510. Retrieved from http://www.jstor.org/stable/24363579</w:t>
      </w:r>
    </w:p>
    <w:p w:rsidR="008F0922" w:rsidRPr="008F0922" w:rsidRDefault="008F0922" w:rsidP="008F0922">
      <w:pPr>
        <w:widowControl w:val="0"/>
        <w:autoSpaceDE w:val="0"/>
        <w:autoSpaceDN w:val="0"/>
        <w:adjustRightInd w:val="0"/>
        <w:ind w:left="480" w:hanging="480"/>
        <w:rPr>
          <w:rFonts w:ascii="Cambria" w:hAnsi="Cambria"/>
          <w:noProof/>
        </w:rPr>
      </w:pPr>
      <w:r w:rsidRPr="008F0922">
        <w:rPr>
          <w:rFonts w:ascii="Cambria" w:hAnsi="Cambria"/>
          <w:noProof/>
        </w:rPr>
        <w:t xml:space="preserve">Agrawal, A., Gibson, C. C., Brosius, J. P., Tsing, A. L., Zerner, C., D’Cruz, C., … Whitby, P. (2014). Summary for Policymakers. </w:t>
      </w:r>
      <w:r w:rsidRPr="008F0922">
        <w:rPr>
          <w:rFonts w:ascii="Cambria" w:hAnsi="Cambria"/>
          <w:i/>
          <w:iCs/>
          <w:noProof/>
        </w:rPr>
        <w:t>Climate Change 2013 - The Physical Science Basis</w:t>
      </w:r>
      <w:r w:rsidRPr="008F0922">
        <w:rPr>
          <w:rFonts w:ascii="Cambria" w:hAnsi="Cambria"/>
          <w:noProof/>
        </w:rPr>
        <w:t xml:space="preserve">, </w:t>
      </w:r>
      <w:r w:rsidRPr="008F0922">
        <w:rPr>
          <w:rFonts w:ascii="Cambria" w:hAnsi="Cambria"/>
          <w:i/>
          <w:iCs/>
          <w:noProof/>
        </w:rPr>
        <w:t>1</w:t>
      </w:r>
      <w:r w:rsidRPr="008F0922">
        <w:rPr>
          <w:rFonts w:ascii="Cambria" w:hAnsi="Cambria"/>
          <w:noProof/>
        </w:rPr>
        <w:t>(3), 1–30. https://doi.org/10.1017/CBO9781107415324.004</w:t>
      </w:r>
    </w:p>
    <w:p w:rsidR="008F0922" w:rsidRPr="008F0922" w:rsidRDefault="008F0922" w:rsidP="008F0922">
      <w:pPr>
        <w:widowControl w:val="0"/>
        <w:autoSpaceDE w:val="0"/>
        <w:autoSpaceDN w:val="0"/>
        <w:adjustRightInd w:val="0"/>
        <w:ind w:left="480" w:hanging="480"/>
        <w:rPr>
          <w:rFonts w:ascii="Cambria" w:hAnsi="Cambria"/>
          <w:noProof/>
        </w:rPr>
      </w:pPr>
      <w:r w:rsidRPr="008F0922">
        <w:rPr>
          <w:rFonts w:ascii="Cambria" w:hAnsi="Cambria"/>
          <w:noProof/>
        </w:rPr>
        <w:t xml:space="preserve">Francoli, M., Ostling, A., &amp; Steibel, F. (2015). </w:t>
      </w:r>
      <w:r w:rsidRPr="008F0922">
        <w:rPr>
          <w:rFonts w:ascii="Cambria" w:hAnsi="Cambria"/>
          <w:i/>
          <w:iCs/>
          <w:noProof/>
        </w:rPr>
        <w:t>From Informing to Empowering: Best Practices and Recommendations for Improving Government Civil Society Interactions within OGP</w:t>
      </w:r>
      <w:r w:rsidRPr="008F0922">
        <w:rPr>
          <w:rFonts w:ascii="Cambria" w:hAnsi="Cambria"/>
          <w:noProof/>
        </w:rPr>
        <w:t>. Retrieved from http://www.opengovpartnership.org/sites/default/files/FromInformingToEmpowering_FullReport.pdf</w:t>
      </w:r>
    </w:p>
    <w:p w:rsidR="008F0922" w:rsidRPr="008F0922" w:rsidRDefault="008F0922" w:rsidP="008F0922">
      <w:pPr>
        <w:widowControl w:val="0"/>
        <w:autoSpaceDE w:val="0"/>
        <w:autoSpaceDN w:val="0"/>
        <w:adjustRightInd w:val="0"/>
        <w:ind w:left="480" w:hanging="480"/>
        <w:rPr>
          <w:rFonts w:ascii="Cambria" w:hAnsi="Cambria"/>
          <w:noProof/>
        </w:rPr>
      </w:pPr>
      <w:r w:rsidRPr="008F0922">
        <w:rPr>
          <w:rFonts w:ascii="Cambria" w:hAnsi="Cambria"/>
          <w:noProof/>
        </w:rPr>
        <w:t>Idrc, O. G. P. (2015). Advancing Open Government and Evaluating it’s Impact: Research Papers by the Winners of the OGP IDRC Research Grant, 2–3.</w:t>
      </w:r>
    </w:p>
    <w:p w:rsidR="008F0922" w:rsidRPr="008F0922" w:rsidRDefault="008F0922" w:rsidP="008F0922">
      <w:pPr>
        <w:widowControl w:val="0"/>
        <w:autoSpaceDE w:val="0"/>
        <w:autoSpaceDN w:val="0"/>
        <w:adjustRightInd w:val="0"/>
        <w:ind w:left="480" w:hanging="480"/>
        <w:rPr>
          <w:rFonts w:ascii="Cambria" w:hAnsi="Cambria"/>
          <w:noProof/>
        </w:rPr>
      </w:pPr>
      <w:r w:rsidRPr="008F0922">
        <w:rPr>
          <w:rFonts w:ascii="Cambria" w:hAnsi="Cambria"/>
          <w:noProof/>
        </w:rPr>
        <w:t>OPG Research Agenda 2017 - 18. (2017).</w:t>
      </w:r>
    </w:p>
    <w:p w:rsidR="00EC7F10" w:rsidRDefault="00D216B9" w:rsidP="008F0922">
      <w:pPr>
        <w:widowControl w:val="0"/>
        <w:autoSpaceDE w:val="0"/>
        <w:autoSpaceDN w:val="0"/>
        <w:adjustRightInd w:val="0"/>
        <w:ind w:left="480" w:hanging="480"/>
        <w:rPr>
          <w:b/>
          <w:bCs/>
        </w:rPr>
      </w:pPr>
      <w:r>
        <w:rPr>
          <w:b/>
          <w:bCs/>
        </w:rPr>
        <w:fldChar w:fldCharType="end"/>
      </w:r>
    </w:p>
    <w:p w:rsidR="00D216B9" w:rsidRDefault="00D216B9" w:rsidP="003A164B">
      <w:pPr>
        <w:rPr>
          <w:b/>
          <w:bCs/>
        </w:rPr>
      </w:pPr>
    </w:p>
    <w:p w:rsidR="003A164B" w:rsidRPr="003A164B" w:rsidRDefault="003A164B" w:rsidP="003A164B">
      <w:r w:rsidRPr="003A164B">
        <w:t>Please submit your proposals to </w:t>
      </w:r>
      <w:hyperlink r:id="rId6" w:history="1">
        <w:r w:rsidRPr="003A164B">
          <w:rPr>
            <w:rStyle w:val="Hyperlink"/>
          </w:rPr>
          <w:t>munyema.hasan@opengovpartnership.org</w:t>
        </w:r>
      </w:hyperlink>
      <w:r w:rsidRPr="003A164B">
        <w:t> by 12 midnight EST by July 14, 2017.</w:t>
      </w:r>
    </w:p>
    <w:p w:rsidR="003A164B" w:rsidRPr="008544B2" w:rsidRDefault="008544B2" w:rsidP="003A164B">
      <w:pPr>
        <w:rPr>
          <w:u w:val="single"/>
        </w:rPr>
      </w:pPr>
      <w:r w:rsidRPr="008544B2">
        <w:rPr>
          <w:u w:val="single"/>
        </w:rPr>
        <w:t>Task List</w:t>
      </w:r>
    </w:p>
    <w:p w:rsidR="008544B2" w:rsidRDefault="008544B2" w:rsidP="003A164B"/>
    <w:p w:rsidR="00E959C2" w:rsidRDefault="00E959C2" w:rsidP="003A164B">
      <w:r>
        <w:t>Research question</w:t>
      </w:r>
    </w:p>
    <w:p w:rsidR="00E959C2" w:rsidRDefault="00E959C2" w:rsidP="00E959C2">
      <w:pPr>
        <w:pStyle w:val="ListParagraph"/>
        <w:numPr>
          <w:ilvl w:val="0"/>
          <w:numId w:val="11"/>
        </w:numPr>
      </w:pPr>
      <w:r>
        <w:t>Transition from question to audience better</w:t>
      </w:r>
    </w:p>
    <w:p w:rsidR="00E959C2" w:rsidRDefault="00E959C2" w:rsidP="00E959C2">
      <w:r>
        <w:t>Audience</w:t>
      </w:r>
    </w:p>
    <w:p w:rsidR="0075650E" w:rsidRDefault="0075650E" w:rsidP="00E959C2">
      <w:r>
        <w:tab/>
        <w:t>- Clean up section / make it flow</w:t>
      </w:r>
    </w:p>
    <w:p w:rsidR="00E959C2" w:rsidRDefault="00E959C2" w:rsidP="003A164B"/>
    <w:p w:rsidR="008544B2" w:rsidRDefault="008544B2" w:rsidP="003A164B">
      <w:r>
        <w:t>Refine Methodology</w:t>
      </w:r>
    </w:p>
    <w:p w:rsidR="008544B2" w:rsidRDefault="008544B2" w:rsidP="008544B2">
      <w:pPr>
        <w:pStyle w:val="ListParagraph"/>
        <w:numPr>
          <w:ilvl w:val="0"/>
          <w:numId w:val="10"/>
        </w:numPr>
      </w:pPr>
      <w:r>
        <w:t>Run Diff-in-diff globally</w:t>
      </w:r>
    </w:p>
    <w:p w:rsidR="008544B2" w:rsidRDefault="008544B2" w:rsidP="008544B2">
      <w:pPr>
        <w:pStyle w:val="ListParagraph"/>
        <w:numPr>
          <w:ilvl w:val="0"/>
          <w:numId w:val="10"/>
        </w:numPr>
      </w:pPr>
      <w:r>
        <w:t>Run synthetic control method globally</w:t>
      </w:r>
    </w:p>
    <w:p w:rsidR="00DB434C" w:rsidRDefault="00DB434C" w:rsidP="00DB434C">
      <w:pPr>
        <w:pStyle w:val="ListParagraph"/>
        <w:numPr>
          <w:ilvl w:val="0"/>
          <w:numId w:val="10"/>
        </w:numPr>
      </w:pPr>
      <w:r>
        <w:t>Run Diff-in-diff globally on synthetic control (weighted averages)</w:t>
      </w:r>
    </w:p>
    <w:p w:rsidR="00DB434C" w:rsidRDefault="00DB434C" w:rsidP="00DB434C">
      <w:pPr>
        <w:pStyle w:val="ListParagraph"/>
        <w:numPr>
          <w:ilvl w:val="0"/>
          <w:numId w:val="10"/>
        </w:numPr>
      </w:pPr>
      <w:r>
        <w:t>Run Diff-in-diff continentally</w:t>
      </w:r>
    </w:p>
    <w:p w:rsidR="00DB434C" w:rsidRDefault="00DB434C" w:rsidP="00DB434C">
      <w:pPr>
        <w:pStyle w:val="ListParagraph"/>
        <w:numPr>
          <w:ilvl w:val="0"/>
          <w:numId w:val="10"/>
        </w:numPr>
      </w:pPr>
      <w:r>
        <w:t>Run synthetic control method continentally</w:t>
      </w:r>
    </w:p>
    <w:p w:rsidR="00DB434C" w:rsidRDefault="00DB434C" w:rsidP="00DB434C">
      <w:pPr>
        <w:pStyle w:val="ListParagraph"/>
        <w:numPr>
          <w:ilvl w:val="0"/>
          <w:numId w:val="10"/>
        </w:numPr>
      </w:pPr>
      <w:r>
        <w:t xml:space="preserve">Run Diff-in-diff </w:t>
      </w:r>
      <w:r w:rsidR="00EC3871">
        <w:t>continentally</w:t>
      </w:r>
      <w:r>
        <w:t xml:space="preserve"> on synthetic control (weighted averages)</w:t>
      </w:r>
    </w:p>
    <w:p w:rsidR="0075650E" w:rsidRDefault="00DB434C" w:rsidP="0075650E">
      <w:pPr>
        <w:pStyle w:val="ListParagraph"/>
        <w:numPr>
          <w:ilvl w:val="0"/>
          <w:numId w:val="10"/>
        </w:numPr>
      </w:pPr>
      <w:r>
        <w:t>Write equations – solid left hand side</w:t>
      </w:r>
    </w:p>
    <w:p w:rsidR="00DB434C" w:rsidRDefault="00DB434C" w:rsidP="00DB434C">
      <w:pPr>
        <w:pStyle w:val="ListParagraph"/>
        <w:numPr>
          <w:ilvl w:val="0"/>
          <w:numId w:val="10"/>
        </w:numPr>
      </w:pPr>
      <w:r>
        <w:t xml:space="preserve">Be clear about </w:t>
      </w:r>
      <w:r w:rsidR="00E959C2">
        <w:t>research and defining a left hand public trust and legitimacy</w:t>
      </w:r>
    </w:p>
    <w:p w:rsidR="00E959C2" w:rsidRDefault="00E959C2" w:rsidP="00E959C2">
      <w:pPr>
        <w:pStyle w:val="ListParagraph"/>
        <w:numPr>
          <w:ilvl w:val="1"/>
          <w:numId w:val="10"/>
        </w:numPr>
      </w:pPr>
      <w:r>
        <w:t>Can we create this with a data set?  OGP was invited, how many participants came</w:t>
      </w:r>
    </w:p>
    <w:p w:rsidR="005A172E" w:rsidRDefault="0075650E" w:rsidP="005A172E">
      <w:pPr>
        <w:ind w:left="720"/>
        <w:rPr>
          <w:i/>
        </w:rPr>
      </w:pPr>
      <w:r>
        <w:rPr>
          <w:i/>
        </w:rPr>
        <w:t>Anticipated Data Set</w:t>
      </w:r>
    </w:p>
    <w:p w:rsidR="005A172E" w:rsidRDefault="0075650E" w:rsidP="005A172E">
      <w:pPr>
        <w:pStyle w:val="ListParagraph"/>
        <w:numPr>
          <w:ilvl w:val="0"/>
          <w:numId w:val="11"/>
        </w:numPr>
      </w:pPr>
      <w:r>
        <w:t xml:space="preserve">Research needs to be conducted thoroughly about the literary surrounding public trust and </w:t>
      </w:r>
      <w:r w:rsidR="005A172E">
        <w:t>legitimacy</w:t>
      </w:r>
    </w:p>
    <w:p w:rsidR="005A172E" w:rsidRPr="005A172E" w:rsidRDefault="005A172E" w:rsidP="005A172E">
      <w:pPr>
        <w:pStyle w:val="ListParagraph"/>
        <w:numPr>
          <w:ilvl w:val="0"/>
          <w:numId w:val="11"/>
        </w:numPr>
        <w:rPr>
          <w:i/>
        </w:rPr>
      </w:pPr>
      <w:r>
        <w:t>Can we create this variable?</w:t>
      </w:r>
    </w:p>
    <w:p w:rsidR="005A172E" w:rsidRPr="005A172E" w:rsidRDefault="005A172E" w:rsidP="005A172E">
      <w:pPr>
        <w:pStyle w:val="ListParagraph"/>
        <w:numPr>
          <w:ilvl w:val="0"/>
          <w:numId w:val="11"/>
        </w:numPr>
        <w:rPr>
          <w:i/>
        </w:rPr>
      </w:pPr>
      <w:r>
        <w:t>Rank them in the proposal</w:t>
      </w:r>
    </w:p>
    <w:p w:rsidR="005A172E" w:rsidRDefault="005A172E" w:rsidP="005A172E"/>
    <w:p w:rsidR="005A172E" w:rsidRDefault="005A172E" w:rsidP="005A172E">
      <w:r>
        <w:t>Research Team Profile</w:t>
      </w:r>
    </w:p>
    <w:p w:rsidR="005A172E" w:rsidRPr="005A172E" w:rsidRDefault="005A172E" w:rsidP="005A172E">
      <w:pPr>
        <w:pStyle w:val="ListParagraph"/>
        <w:numPr>
          <w:ilvl w:val="0"/>
          <w:numId w:val="12"/>
        </w:numPr>
        <w:rPr>
          <w:i/>
        </w:rPr>
      </w:pPr>
      <w:r>
        <w:t xml:space="preserve">Dr. </w:t>
      </w:r>
      <w:proofErr w:type="spellStart"/>
      <w:r>
        <w:t>Rahman</w:t>
      </w:r>
      <w:proofErr w:type="spellEnd"/>
      <w:r>
        <w:t xml:space="preserve"> – qualifications, track record, and organizational capacities</w:t>
      </w:r>
    </w:p>
    <w:p w:rsidR="00EC3871" w:rsidRPr="00EC3871" w:rsidRDefault="005A172E" w:rsidP="005A172E">
      <w:pPr>
        <w:pStyle w:val="ListParagraph"/>
        <w:numPr>
          <w:ilvl w:val="0"/>
          <w:numId w:val="12"/>
        </w:numPr>
        <w:rPr>
          <w:i/>
        </w:rPr>
      </w:pPr>
      <w:r>
        <w:t xml:space="preserve">Joseph Navelski </w:t>
      </w:r>
      <w:r w:rsidR="00EC3871">
        <w:t>–</w:t>
      </w:r>
      <w:r>
        <w:t xml:space="preserve"> </w:t>
      </w:r>
      <w:r w:rsidR="00EC3871">
        <w:t>Independent Research, Peace Corps, Previous Grants/Proposals, Govt. Experience, Future Plans with Education and OGP</w:t>
      </w:r>
    </w:p>
    <w:p w:rsidR="0075650E" w:rsidRPr="00EC3871" w:rsidRDefault="005A172E" w:rsidP="00EC3871">
      <w:pPr>
        <w:ind w:left="720"/>
        <w:rPr>
          <w:i/>
        </w:rPr>
      </w:pPr>
      <w:r>
        <w:br/>
      </w:r>
    </w:p>
    <w:p w:rsidR="00DB434C" w:rsidRDefault="00DB434C" w:rsidP="00E959C2"/>
    <w:sectPr w:rsidR="00DB434C" w:rsidSect="009A5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80D6F"/>
    <w:multiLevelType w:val="multilevel"/>
    <w:tmpl w:val="1D38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5354A2"/>
    <w:multiLevelType w:val="multilevel"/>
    <w:tmpl w:val="460A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BC290A"/>
    <w:multiLevelType w:val="hybridMultilevel"/>
    <w:tmpl w:val="10165F8A"/>
    <w:lvl w:ilvl="0" w:tplc="8D72B4EA">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2DF2B4B"/>
    <w:multiLevelType w:val="hybridMultilevel"/>
    <w:tmpl w:val="2DD22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530058"/>
    <w:multiLevelType w:val="multilevel"/>
    <w:tmpl w:val="E0A0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2E47BC"/>
    <w:multiLevelType w:val="multilevel"/>
    <w:tmpl w:val="73A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D505FB"/>
    <w:multiLevelType w:val="hybridMultilevel"/>
    <w:tmpl w:val="7B284636"/>
    <w:lvl w:ilvl="0" w:tplc="91D8796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6DC4A2A"/>
    <w:multiLevelType w:val="hybridMultilevel"/>
    <w:tmpl w:val="FD183878"/>
    <w:lvl w:ilvl="0" w:tplc="F25660B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F10295"/>
    <w:multiLevelType w:val="hybridMultilevel"/>
    <w:tmpl w:val="9DEE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D10300"/>
    <w:multiLevelType w:val="multilevel"/>
    <w:tmpl w:val="3496D58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6EAF72F6"/>
    <w:multiLevelType w:val="multilevel"/>
    <w:tmpl w:val="3496D58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7F8A1614"/>
    <w:multiLevelType w:val="hybridMultilevel"/>
    <w:tmpl w:val="7DA008EE"/>
    <w:lvl w:ilvl="0" w:tplc="91D8796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10"/>
  </w:num>
  <w:num w:numId="6">
    <w:abstractNumId w:val="9"/>
  </w:num>
  <w:num w:numId="7">
    <w:abstractNumId w:val="8"/>
  </w:num>
  <w:num w:numId="8">
    <w:abstractNumId w:val="3"/>
  </w:num>
  <w:num w:numId="9">
    <w:abstractNumId w:val="7"/>
  </w:num>
  <w:num w:numId="10">
    <w:abstractNumId w:val="2"/>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6C"/>
    <w:rsid w:val="00032FE9"/>
    <w:rsid w:val="0004082B"/>
    <w:rsid w:val="000548CA"/>
    <w:rsid w:val="00056673"/>
    <w:rsid w:val="00093390"/>
    <w:rsid w:val="00093CF1"/>
    <w:rsid w:val="0009406D"/>
    <w:rsid w:val="000B5F7D"/>
    <w:rsid w:val="000C2671"/>
    <w:rsid w:val="000E33AE"/>
    <w:rsid w:val="000F6F6B"/>
    <w:rsid w:val="0013458D"/>
    <w:rsid w:val="00141844"/>
    <w:rsid w:val="00154C7D"/>
    <w:rsid w:val="0016524D"/>
    <w:rsid w:val="001977C3"/>
    <w:rsid w:val="001A78C1"/>
    <w:rsid w:val="001D6A62"/>
    <w:rsid w:val="001E794D"/>
    <w:rsid w:val="002048CF"/>
    <w:rsid w:val="00204BB4"/>
    <w:rsid w:val="0021166E"/>
    <w:rsid w:val="00220EDD"/>
    <w:rsid w:val="002355DA"/>
    <w:rsid w:val="00245936"/>
    <w:rsid w:val="00276D00"/>
    <w:rsid w:val="00280230"/>
    <w:rsid w:val="002B6537"/>
    <w:rsid w:val="002C3B69"/>
    <w:rsid w:val="002E1F24"/>
    <w:rsid w:val="0032096B"/>
    <w:rsid w:val="003301FB"/>
    <w:rsid w:val="00344C85"/>
    <w:rsid w:val="00357C76"/>
    <w:rsid w:val="00393E10"/>
    <w:rsid w:val="003A164B"/>
    <w:rsid w:val="003E2823"/>
    <w:rsid w:val="003F49D2"/>
    <w:rsid w:val="003F7F43"/>
    <w:rsid w:val="0042184F"/>
    <w:rsid w:val="00472939"/>
    <w:rsid w:val="00476DD2"/>
    <w:rsid w:val="00492286"/>
    <w:rsid w:val="004A71F5"/>
    <w:rsid w:val="004D1B20"/>
    <w:rsid w:val="00507809"/>
    <w:rsid w:val="0056234D"/>
    <w:rsid w:val="00597B44"/>
    <w:rsid w:val="005A172E"/>
    <w:rsid w:val="005C63B6"/>
    <w:rsid w:val="005D2DDD"/>
    <w:rsid w:val="005E3DC2"/>
    <w:rsid w:val="005F2094"/>
    <w:rsid w:val="00625F5E"/>
    <w:rsid w:val="006725CA"/>
    <w:rsid w:val="006B77FE"/>
    <w:rsid w:val="006E79EF"/>
    <w:rsid w:val="00741AE2"/>
    <w:rsid w:val="0075650E"/>
    <w:rsid w:val="0077256A"/>
    <w:rsid w:val="007B58F7"/>
    <w:rsid w:val="007C64E4"/>
    <w:rsid w:val="007D771D"/>
    <w:rsid w:val="007E0FB0"/>
    <w:rsid w:val="007E5045"/>
    <w:rsid w:val="00824358"/>
    <w:rsid w:val="00826730"/>
    <w:rsid w:val="00835923"/>
    <w:rsid w:val="00836EEF"/>
    <w:rsid w:val="008460DD"/>
    <w:rsid w:val="008544B2"/>
    <w:rsid w:val="00897903"/>
    <w:rsid w:val="008B015D"/>
    <w:rsid w:val="008C02AD"/>
    <w:rsid w:val="008F0922"/>
    <w:rsid w:val="009058ED"/>
    <w:rsid w:val="00916E70"/>
    <w:rsid w:val="00946958"/>
    <w:rsid w:val="009620BD"/>
    <w:rsid w:val="00965141"/>
    <w:rsid w:val="0099542D"/>
    <w:rsid w:val="009A131D"/>
    <w:rsid w:val="009A5213"/>
    <w:rsid w:val="00A017A8"/>
    <w:rsid w:val="00AA00E9"/>
    <w:rsid w:val="00AC1BCC"/>
    <w:rsid w:val="00AC670C"/>
    <w:rsid w:val="00AD7872"/>
    <w:rsid w:val="00AE2B27"/>
    <w:rsid w:val="00AE4C83"/>
    <w:rsid w:val="00B11BE2"/>
    <w:rsid w:val="00B1448C"/>
    <w:rsid w:val="00B4030E"/>
    <w:rsid w:val="00B43813"/>
    <w:rsid w:val="00B45504"/>
    <w:rsid w:val="00B7202D"/>
    <w:rsid w:val="00B81141"/>
    <w:rsid w:val="00B8451C"/>
    <w:rsid w:val="00BB35FB"/>
    <w:rsid w:val="00BF6524"/>
    <w:rsid w:val="00C03B4F"/>
    <w:rsid w:val="00C06243"/>
    <w:rsid w:val="00C3731C"/>
    <w:rsid w:val="00C92F0B"/>
    <w:rsid w:val="00CD092C"/>
    <w:rsid w:val="00D06409"/>
    <w:rsid w:val="00D216B9"/>
    <w:rsid w:val="00D613AF"/>
    <w:rsid w:val="00D8630E"/>
    <w:rsid w:val="00DA2675"/>
    <w:rsid w:val="00DA271E"/>
    <w:rsid w:val="00DB434C"/>
    <w:rsid w:val="00DC6994"/>
    <w:rsid w:val="00DF1455"/>
    <w:rsid w:val="00E2104A"/>
    <w:rsid w:val="00E2186C"/>
    <w:rsid w:val="00E50590"/>
    <w:rsid w:val="00E5301D"/>
    <w:rsid w:val="00E64EB6"/>
    <w:rsid w:val="00E959C2"/>
    <w:rsid w:val="00E97CB7"/>
    <w:rsid w:val="00EA000D"/>
    <w:rsid w:val="00EC3871"/>
    <w:rsid w:val="00EC6D4C"/>
    <w:rsid w:val="00EC7F10"/>
    <w:rsid w:val="00EF76CD"/>
    <w:rsid w:val="00F1147A"/>
    <w:rsid w:val="00F4420F"/>
    <w:rsid w:val="00F63EF0"/>
    <w:rsid w:val="00FB4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64B"/>
    <w:rPr>
      <w:color w:val="0000FF" w:themeColor="hyperlink"/>
      <w:u w:val="single"/>
    </w:rPr>
  </w:style>
  <w:style w:type="table" w:styleId="TableGrid">
    <w:name w:val="Table Grid"/>
    <w:basedOn w:val="TableNormal"/>
    <w:uiPriority w:val="59"/>
    <w:rsid w:val="007E0F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5F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64B"/>
    <w:rPr>
      <w:color w:val="0000FF" w:themeColor="hyperlink"/>
      <w:u w:val="single"/>
    </w:rPr>
  </w:style>
  <w:style w:type="table" w:styleId="TableGrid">
    <w:name w:val="Table Grid"/>
    <w:basedOn w:val="TableNormal"/>
    <w:uiPriority w:val="59"/>
    <w:rsid w:val="007E0F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5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542">
      <w:bodyDiv w:val="1"/>
      <w:marLeft w:val="0"/>
      <w:marRight w:val="0"/>
      <w:marTop w:val="0"/>
      <w:marBottom w:val="0"/>
      <w:divBdr>
        <w:top w:val="none" w:sz="0" w:space="0" w:color="auto"/>
        <w:left w:val="none" w:sz="0" w:space="0" w:color="auto"/>
        <w:bottom w:val="none" w:sz="0" w:space="0" w:color="auto"/>
        <w:right w:val="none" w:sz="0" w:space="0" w:color="auto"/>
      </w:divBdr>
    </w:div>
    <w:div w:id="773789031">
      <w:bodyDiv w:val="1"/>
      <w:marLeft w:val="0"/>
      <w:marRight w:val="0"/>
      <w:marTop w:val="0"/>
      <w:marBottom w:val="0"/>
      <w:divBdr>
        <w:top w:val="none" w:sz="0" w:space="0" w:color="auto"/>
        <w:left w:val="none" w:sz="0" w:space="0" w:color="auto"/>
        <w:bottom w:val="none" w:sz="0" w:space="0" w:color="auto"/>
        <w:right w:val="none" w:sz="0" w:space="0" w:color="auto"/>
      </w:divBdr>
    </w:div>
    <w:div w:id="1450970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unyema.hasan@opengovpartnership.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4054</Words>
  <Characters>23111</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Navelski</dc:creator>
  <cp:keywords/>
  <cp:lastModifiedBy>Joseph Navelski</cp:lastModifiedBy>
  <cp:revision>2</cp:revision>
  <dcterms:created xsi:type="dcterms:W3CDTF">2017-07-12T19:47:00Z</dcterms:created>
  <dcterms:modified xsi:type="dcterms:W3CDTF">2017-07-12T19:47:00Z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14229eaa-7fcf-3fa0-939f-fbe1e79664a7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