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709"/>
        <w:jc w:val="center"/>
        <w:spacing w:after="0" w:line="85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ВВЕДЕНИЕ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ind w:left="0" w:right="0" w:firstLine="709"/>
        <w:jc w:val="both"/>
        <w:spacing w:after="0" w:line="8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управлении любой компании важная роль отводится нормированию и оптимизации труда работников, то есть установлению меры труда на основе изучения и проектирования рациональной трудовой деятельности. Универсальным измерителем количества труда, затраченного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на выполнение той или иной операции, является рабочее время. Поэтому нормы труда определяются через количество времени, необходимого для выполнения определенной работы, или через объем работы, которая должна быть выполнена в единицу времени [21].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Любой библиотечный процесс состоит из ряда последовательных операций и действий, производимых работником. Если библиотекарь при этом использует наиболее экономичные и простые методы, то затраты времени на них можно значительно сократить. Таким образом зада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ча оптимизации учета рабочего времени является важным показателем работы научной библиотеки.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Перед сотрудниками научной библиотеки БГУ стоит задача составления ежемесячного отчета о проделанной работе. Раньше учет рабочего времени сотрудников библиотеки БГУ ввелась в программе для работы с электронными таблицами MicrosoftOfficeExcel. Каждый сотруд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ник ежедневно введет учет и раз в месяц предоставляет отчет начальнику отдела. Начальник отдела на основании отчетов предоставленных сотрудниками его отдела составляет общий отчет по отделу и передает методисту. Далее методист так же составляет отчет по вс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ей библиотеке. Этот метод введении отчетности является трудоемким и требует большого количество времени.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Решением этой проблемы является создание информационной системы размещенный в сети Интернет для учета и контроля рабочего времени сотрудников научной библиотеки БГУ. Важнейшим этапом является анализ предметной области и разработка структуры базы данных.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Целью работы является создание электронного ресурса, размещенного в сети Интернет БГУ.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Объектом исследования является учет и контроль рабочего времени сотрудников НБ БГУ.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Предметом исследования является информационная система учета рабочего времени сотрудников Научной библиотеки БГУ.</w:t>
      </w:r>
      <w:r/>
    </w:p>
    <w:p>
      <w:pPr>
        <w:pStyle w:val="654"/>
        <w:ind w:left="0" w:right="0" w:firstLine="0"/>
        <w:jc w:val="center"/>
        <w:spacing w:before="278" w:after="2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ГЛАВА 1. ПОСТАНОВКА ЗАДАЧИ</w:t>
      </w:r>
      <w:r/>
    </w:p>
    <w:p>
      <w:pPr>
        <w:pStyle w:val="656"/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1.1. Научная библиотека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Научная библиотека – важная часть единого информационного пространства Университета, значимая составляющая модели интеграции образования, науки и производства.</w:t>
      </w:r>
      <w:r/>
    </w:p>
    <w:p>
      <w:pPr>
        <w:pStyle w:val="658"/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1.1.1. Цели и задачи НБ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Основные цели научной библиотеки [22]: </w:t>
      </w:r>
      <w:r/>
    </w:p>
    <w:p>
      <w:pPr>
        <w:pStyle w:val="834"/>
        <w:numPr>
          <w:ilvl w:val="0"/>
          <w:numId w:val="1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оптимизация управления библиотечным обеспечением;</w:t>
      </w:r>
      <w:r/>
    </w:p>
    <w:p>
      <w:pPr>
        <w:pStyle w:val="834"/>
        <w:numPr>
          <w:ilvl w:val="0"/>
          <w:numId w:val="1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обеспечение права пользователей на свободный доступ к библиотечным фондам; </w:t>
      </w:r>
      <w:r/>
    </w:p>
    <w:p>
      <w:pPr>
        <w:pStyle w:val="834"/>
        <w:numPr>
          <w:ilvl w:val="0"/>
          <w:numId w:val="1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организация, хранение и использование библиотечного фонда; </w:t>
      </w:r>
      <w:r/>
    </w:p>
    <w:p>
      <w:pPr>
        <w:pStyle w:val="834"/>
        <w:numPr>
          <w:ilvl w:val="0"/>
          <w:numId w:val="1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обеспечение прав работников и обучающихся академии на свободное получение и использование информации; </w:t>
      </w:r>
      <w:r/>
    </w:p>
    <w:p>
      <w:pPr>
        <w:pStyle w:val="834"/>
        <w:numPr>
          <w:ilvl w:val="0"/>
          <w:numId w:val="1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повышение уровня образования за счет культурного информационного обмена, регионального и международного информационного взаимодействия;</w:t>
      </w:r>
      <w:r/>
    </w:p>
    <w:p>
      <w:pPr>
        <w:pStyle w:val="834"/>
        <w:numPr>
          <w:ilvl w:val="0"/>
          <w:numId w:val="1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содействие развитию сервисных услуг в информационном образовательном пространстве; </w:t>
      </w:r>
      <w:r/>
    </w:p>
    <w:p>
      <w:pPr>
        <w:pStyle w:val="834"/>
        <w:numPr>
          <w:ilvl w:val="0"/>
          <w:numId w:val="1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реализация миссии, видения, политики требований стандартов системы менеджмента качества академии в пределах, установленных настоящим положением полномочий; </w:t>
      </w:r>
      <w:r/>
    </w:p>
    <w:p>
      <w:pPr>
        <w:pStyle w:val="834"/>
        <w:numPr>
          <w:ilvl w:val="0"/>
          <w:numId w:val="1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обеспечение процедур лицензирования и государственной аккредитации академии по библиотечному и информационному обеспечению. 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Достижение вышеуказанных целей осуществляется путем решения следующих основных задач:</w:t>
      </w:r>
      <w:r/>
    </w:p>
    <w:p>
      <w:pPr>
        <w:pStyle w:val="834"/>
        <w:numPr>
          <w:ilvl w:val="0"/>
          <w:numId w:val="2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Обеспечение учебно-воспитательного процесса и научно-исследовательской работы в академии в соответствии с информационными запросами; </w:t>
      </w:r>
      <w:r/>
    </w:p>
    <w:p>
      <w:pPr>
        <w:pStyle w:val="834"/>
        <w:numPr>
          <w:ilvl w:val="0"/>
          <w:numId w:val="2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Организация библиотечного обеспечения системы управления качеством академии; </w:t>
      </w:r>
      <w:r/>
    </w:p>
    <w:p>
      <w:pPr>
        <w:pStyle w:val="834"/>
        <w:numPr>
          <w:ilvl w:val="0"/>
          <w:numId w:val="2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Формирование, приобретение и сохранение фонда изданий и документов в соответствии с профилем академии, направлениями научных исследований и информационными потребностями пользователей; </w:t>
      </w:r>
      <w:r/>
    </w:p>
    <w:p>
      <w:pPr>
        <w:pStyle w:val="834"/>
        <w:numPr>
          <w:ilvl w:val="0"/>
          <w:numId w:val="2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Организация и ведение справочно-поискового аппарата: каталогов (электронного и традиционного), картотек и баз данных. Обеспечение широкого и оперативного доступа к электронным ресурсам научной библиотеки;</w:t>
      </w:r>
      <w:r/>
    </w:p>
    <w:p>
      <w:pPr>
        <w:pStyle w:val="834"/>
        <w:numPr>
          <w:ilvl w:val="0"/>
          <w:numId w:val="2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Удовлетворение информационных потребностей преподавателей, работников, обучающихся и других категорий пользователей путем предоставления разнообразия библиотечно-информационных услуг на основе свободного доступа к информации;</w:t>
      </w:r>
      <w:r/>
    </w:p>
    <w:p>
      <w:pPr>
        <w:pStyle w:val="834"/>
        <w:numPr>
          <w:ilvl w:val="0"/>
          <w:numId w:val="2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Воспитание библиотечно-информационной культуры, обучение читателей современным методам поиска информации; </w:t>
      </w:r>
      <w:r/>
    </w:p>
    <w:p>
      <w:pPr>
        <w:pStyle w:val="834"/>
        <w:numPr>
          <w:ilvl w:val="0"/>
          <w:numId w:val="2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Расширение перечня библиотечных услуг, повышение их качества на основе технического оснащения научной библиотеки, внедрения современных технологий и компьютеризации библиотечно-информационных процессов.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58"/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1.1.2. Функции подразделений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соответствии с возложенными задачами научная библиотека осуществляет следующие функции: </w:t>
      </w:r>
      <w:r/>
    </w:p>
    <w:p>
      <w:pPr>
        <w:pStyle w:val="834"/>
        <w:numPr>
          <w:ilvl w:val="0"/>
          <w:numId w:val="3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Выявление, изучение и удовлетворение информационных потребностей пользователей; </w:t>
      </w:r>
      <w:r/>
    </w:p>
    <w:p>
      <w:pPr>
        <w:pStyle w:val="834"/>
        <w:numPr>
          <w:ilvl w:val="0"/>
          <w:numId w:val="3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Комплектование, организация, учет, размещение, хранение и проверка информационных ресурсов научной библиотеки; </w:t>
      </w:r>
      <w:r/>
    </w:p>
    <w:p>
      <w:pPr>
        <w:pStyle w:val="834"/>
        <w:numPr>
          <w:ilvl w:val="0"/>
          <w:numId w:val="3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Участие в исследованиях и проектах, проводимых в академии; </w:t>
      </w:r>
      <w:r/>
    </w:p>
    <w:p>
      <w:pPr>
        <w:pStyle w:val="834"/>
        <w:numPr>
          <w:ilvl w:val="0"/>
          <w:numId w:val="3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Организация обслуживания читателей в читальных залах, на абонементах и других пунктах выдачи по единому читательскому билету, применяя методы индивидуального и группового обслуживания; </w:t>
      </w:r>
      <w:r/>
    </w:p>
    <w:p>
      <w:pPr>
        <w:pStyle w:val="834"/>
        <w:numPr>
          <w:ilvl w:val="0"/>
          <w:numId w:val="3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Ограничение доступа к отдельным фондам регулируется законодательством об обеспечении сохранности культурного достояния народов Российской Федерации; </w:t>
      </w:r>
      <w:r/>
    </w:p>
    <w:p>
      <w:pPr>
        <w:pStyle w:val="834"/>
        <w:numPr>
          <w:ilvl w:val="0"/>
          <w:numId w:val="3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Обеспечение комплектования фонда в соответствии с профилем академии и образовательными программами, учебными планами и тематикой научных исследований;</w:t>
      </w:r>
      <w:r/>
    </w:p>
    <w:p>
      <w:pPr>
        <w:pStyle w:val="834"/>
        <w:numPr>
          <w:ilvl w:val="0"/>
          <w:numId w:val="3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Исключение документов из библиотечного фонда в соответствии с действующими нормативными документами;</w:t>
      </w:r>
      <w:r/>
    </w:p>
    <w:p>
      <w:pPr>
        <w:pStyle w:val="834"/>
        <w:numPr>
          <w:ilvl w:val="0"/>
          <w:numId w:val="3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Обеспечение сохранности, своевременного учета в сводных каталогах изданий, отнесенных к памятникам истории и культуры, регистрация их как части культурного достояния народов Российской Федерации, а также включение их в автоматизированные базы данных в рамк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ах федеральных программ сохранения и развития культуры;</w:t>
      </w:r>
      <w:r/>
    </w:p>
    <w:p>
      <w:pPr>
        <w:pStyle w:val="834"/>
        <w:numPr>
          <w:ilvl w:val="0"/>
          <w:numId w:val="3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Участие в реализации программы воспитания в системе образования академии, используя различные формы и методы гуманитарно-просветительской работы;</w:t>
      </w:r>
      <w:r/>
    </w:p>
    <w:p>
      <w:pPr>
        <w:pStyle w:val="834"/>
        <w:numPr>
          <w:ilvl w:val="0"/>
          <w:numId w:val="3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Информирование о деятельности научной библиотеки на сайте академии в разделе «Научная библиотека»;</w:t>
      </w:r>
      <w:r/>
    </w:p>
    <w:p>
      <w:pPr>
        <w:pStyle w:val="834"/>
        <w:numPr>
          <w:ilvl w:val="0"/>
          <w:numId w:val="3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Ведение документации согласно утвержденной номенклатуре дел научной библиотеки;</w:t>
      </w:r>
      <w:r/>
    </w:p>
    <w:p>
      <w:pPr>
        <w:pStyle w:val="834"/>
        <w:numPr>
          <w:ilvl w:val="0"/>
          <w:numId w:val="3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Подготовка к хранению, уничтожению, передача в архив академии документации в соответствии с утвержденной номенклатурой дел научной библиотеки; </w:t>
      </w:r>
      <w:r/>
    </w:p>
    <w:p>
      <w:pPr>
        <w:pStyle w:val="834"/>
        <w:numPr>
          <w:ilvl w:val="0"/>
          <w:numId w:val="3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Осуществление в пределах своей компетенции иных функций в соответствии с целями и задачами академии.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Основные функции сектора комплектования и научной обработки документов: </w:t>
      </w:r>
      <w:r/>
    </w:p>
    <w:p>
      <w:pPr>
        <w:pStyle w:val="834"/>
        <w:numPr>
          <w:ilvl w:val="0"/>
          <w:numId w:val="4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Выполнение миссии, видения, политики, требований стандартов системы менеджмента качества академии в пределах, установленных настоящим положением полномочий; </w:t>
      </w:r>
      <w:r/>
    </w:p>
    <w:p>
      <w:pPr>
        <w:pStyle w:val="834"/>
        <w:numPr>
          <w:ilvl w:val="0"/>
          <w:numId w:val="4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Формирование фонда научной библиотеки в соответствии с образовательными стандартами, учебными планами академии; </w:t>
      </w:r>
      <w:r/>
    </w:p>
    <w:p>
      <w:pPr>
        <w:pStyle w:val="834"/>
        <w:numPr>
          <w:ilvl w:val="0"/>
          <w:numId w:val="4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Разработка планов по оперативному комплектованию и определение главных целей и направлений и тематики формирования фондов по согласованию с кафедрами, деканами факультетов и заведующим научной библиотекой; </w:t>
      </w:r>
      <w:r/>
    </w:p>
    <w:p>
      <w:pPr>
        <w:pStyle w:val="834"/>
        <w:numPr>
          <w:ilvl w:val="0"/>
          <w:numId w:val="4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Ведение традиционных и электронного каталогов научной библиотеки;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Основные функции справочно-библиографического сектора [22]: </w:t>
      </w:r>
      <w:r/>
    </w:p>
    <w:p>
      <w:pPr>
        <w:pStyle w:val="834"/>
        <w:numPr>
          <w:ilvl w:val="0"/>
          <w:numId w:val="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Выполнение миссии, видения, политики, требований стандартов системы менеджмента качества академии в пределах, установленных настоящим положением полномочий; </w:t>
      </w:r>
      <w:r/>
    </w:p>
    <w:p>
      <w:pPr>
        <w:pStyle w:val="834"/>
        <w:numPr>
          <w:ilvl w:val="0"/>
          <w:numId w:val="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Организация справочно-библиографического и информационного обслуживания пользователей; - изучение информационных потребностей обучающихся, профессорско-преподавательского состава и работников академии с целью оптимального их удовлетворения;</w:t>
      </w:r>
      <w:r/>
    </w:p>
    <w:p>
      <w:pPr>
        <w:pStyle w:val="834"/>
        <w:numPr>
          <w:ilvl w:val="0"/>
          <w:numId w:val="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Проведение занятий по основам информационно-библиографической культуры, обучение пользователей современным методам поиска информации в традиционных и автоматизированных информационно-библиотечных системах, и глобальных информационных сетях; </w:t>
      </w:r>
      <w:r/>
    </w:p>
    <w:p>
      <w:pPr>
        <w:pStyle w:val="834"/>
        <w:numPr>
          <w:ilvl w:val="0"/>
          <w:numId w:val="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Организация и ведение справочно-поискового аппарата: картотеки периодических изданий, картотеки выполненных справок, краеведческой картотеки, картотеки трудов преподавателей академии, баз данных. 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Основные функции отдела обслуживания: </w:t>
      </w:r>
      <w:r/>
    </w:p>
    <w:p>
      <w:pPr>
        <w:pStyle w:val="834"/>
        <w:numPr>
          <w:ilvl w:val="0"/>
          <w:numId w:val="6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Выполнение миссии, видения, политики, требований стандартов системы менеджмента качества академии в пределах, установленных настоящим положением полномочий;</w:t>
      </w:r>
      <w:r/>
    </w:p>
    <w:p>
      <w:pPr>
        <w:pStyle w:val="834"/>
        <w:numPr>
          <w:ilvl w:val="0"/>
          <w:numId w:val="6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Индивидуальное, групповое и дифференцированное обслуживание читателей на абонементах и в читальных залах научной библиотеки;</w:t>
      </w:r>
      <w:r/>
    </w:p>
    <w:p>
      <w:pPr>
        <w:pStyle w:val="834"/>
        <w:numPr>
          <w:ilvl w:val="0"/>
          <w:numId w:val="6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Формирование подсобных фондов в соответствии с учебными планами, программами и информационными запросами пользователей;</w:t>
      </w:r>
      <w:r/>
    </w:p>
    <w:p>
      <w:pPr>
        <w:pStyle w:val="834"/>
        <w:numPr>
          <w:ilvl w:val="0"/>
          <w:numId w:val="6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Обеспечение доступа к электронному каталогу и информационным ресурсам; </w:t>
      </w:r>
      <w:r/>
    </w:p>
    <w:p>
      <w:pPr>
        <w:pStyle w:val="834"/>
        <w:numPr>
          <w:ilvl w:val="0"/>
          <w:numId w:val="6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Выполнение информационных запросов и консультирование пользователей научной библиотеки; </w:t>
      </w:r>
      <w:r/>
    </w:p>
    <w:p>
      <w:pPr>
        <w:pStyle w:val="834"/>
        <w:numPr>
          <w:ilvl w:val="0"/>
          <w:numId w:val="6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Анализ обеспеченности пользователей учебной и учебно-методической литературой и ведение картотеки распределения учебной литературы в пунктах обслуживания научной библиотеки.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709"/>
        <w:jc w:val="center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1.1.3. Должности и обязанности сотрудников НБ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white"/>
        </w:rPr>
        <w:t xml:space="preserve">Библиотекарь - это человек, который профессионально работает в библиотеке, обеспечивая доступ к информации, а иногда и к социальному или техническому программированию. Кроме того, библиотекари предоставляют инструкции по информационной грамотности. В Соеди</w:t>
      </w:r>
      <w:r>
        <w:rPr>
          <w:rFonts w:ascii="Times New Roman" w:hAnsi="Times New Roman" w:eastAsia="Times New Roman" w:cs="Times New Roman"/>
          <w:color w:val="000000"/>
          <w:sz w:val="28"/>
          <w:highlight w:val="white"/>
        </w:rPr>
        <w:t xml:space="preserve">ненных Штатах и ​​Канаде они обычно должны иметь степень бакалавра в библиотечной школе, например, степень магистра в области библиотечных наук или библиотечно-информационных исследований, или магистра информатики.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Конкретные обязанности варьируются в зависимости от размера и типа библиотеки. Оливия Кросби описала библиотекарей как «Информационных экспертов в эпоху информации». Большинство библиотекарей проводят время в одной из следующих областей библиотеки: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Архивисты могут быть специализированными библиотекарями, которые занимаются архивированными материалами, такими как рукописи, документы и записи, хотя это варьируется от страны к стране, и есть другие пути к архивной профессии.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Библиотеки по сбору средств или приобретения собирают книги и электронные ресурсы. Большие библиотеки часто используют планы утверждения, в которых участвует библиотекарь для конкретного субъекта, создающего профиль, который позволяет издателям отправлять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соответствующие книги в библиотеку без каких-либо дополнительных проверок. Библиотекари могут увидеть эти книги, когда они прибудут, и решить, станут ли они частью коллекции или нет. Все библиотекари коллекций также имеют определенную сумму финансирования,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чтобы позволить им приобретать книги и материалы, которые не поступают с разрешения.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Библиотеки электронных ресурсов управляют базами данных, которые лицензируют библиотеки у сторонних поставщиков.</w:t>
      </w:r>
      <w:r/>
    </w:p>
    <w:p>
      <w:pPr>
        <w:pStyle w:val="656"/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1.2. Проблематика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Каждый месяц НБ БГУ обязана формировать отчет по работе библиотеки. Данный отчет составляется следующим образом:</w:t>
      </w:r>
      <w:r/>
    </w:p>
    <w:p>
      <w:pPr>
        <w:pStyle w:val="834"/>
        <w:numPr>
          <w:ilvl w:val="0"/>
          <w:numId w:val="7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Каждый сотрудник заполняет отчет при помощи программы для работы с таблицамиMicrosoftExcelпо выполненным задачам рабочего дня за месяц;</w:t>
      </w:r>
      <w:r/>
    </w:p>
    <w:p>
      <w:pPr>
        <w:pStyle w:val="834"/>
        <w:numPr>
          <w:ilvl w:val="0"/>
          <w:numId w:val="7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конце месяца начальник отдела/сектора формирует из полученных отчетов своих сотрудников (если же в отделе есть сектора, начальник отдела собирает из файлов отчетов секторов) отчет по своему отделу;</w:t>
      </w:r>
      <w:r/>
    </w:p>
    <w:p>
      <w:pPr>
        <w:pStyle w:val="834"/>
        <w:numPr>
          <w:ilvl w:val="0"/>
          <w:numId w:val="7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Собранные из отделов файлы отчеты предоставляется методисту и он, на их основе полученных отчетов отделов, составляет сводный файл отчета по библиотеке.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На каждый рабочий процесс существует норма времени, которая отведена на выполнение одной единицы измерения результата рабочего процесса. Например, внесение библиографического описания измеряется библиографическими описаниями, на каждое отводится норма врем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ени в 10 минут. Норму времени выставляет методист на основе контрольных замеров времени выполнения задачи выборкой сотрудников.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Данный процесс достаточно сложен и требует большое количество времени из-за следующих причин: </w:t>
      </w:r>
      <w:r/>
    </w:p>
    <w:p>
      <w:pPr>
        <w:pStyle w:val="834"/>
        <w:numPr>
          <w:ilvl w:val="0"/>
          <w:numId w:val="8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отсутствует четкая унификация процессов. Один и тот же процесс может называться по-разному в разных отделах/секторах, что затрудняет составление сводных отчетов;</w:t>
      </w:r>
      <w:r/>
    </w:p>
    <w:p>
      <w:pPr>
        <w:pStyle w:val="834"/>
        <w:numPr>
          <w:ilvl w:val="0"/>
          <w:numId w:val="8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ручное копирование данных в таблице Excel недостаточно эффективен по времени;</w:t>
      </w:r>
      <w:r/>
    </w:p>
    <w:p>
      <w:pPr>
        <w:pStyle w:val="834"/>
        <w:numPr>
          <w:ilvl w:val="0"/>
          <w:numId w:val="8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сбор данных требует много времени в силу глубокой иерархии отделов;</w:t>
      </w:r>
      <w:r/>
    </w:p>
    <w:p>
      <w:pPr>
        <w:pStyle w:val="834"/>
        <w:numPr>
          <w:ilvl w:val="0"/>
          <w:numId w:val="8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использование текстовой информации для указания меры измерения отдела ограничивает использование формул.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 w:type="page" w:clear="all"/>
      </w:r>
      <w:r/>
    </w:p>
    <w:p>
      <w:pPr>
        <w:ind w:left="0" w:right="0" w:firstLine="709"/>
        <w:jc w:val="right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Таблица 1.</w:t>
      </w:r>
      <w:r/>
    </w:p>
    <w:p>
      <w:pPr>
        <w:ind w:left="0" w:right="0" w:firstLine="709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Пример отчета сотрудника</w:t>
      </w:r>
      <w:r/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829"/>
        <w:gridCol w:w="1479"/>
        <w:gridCol w:w="1961"/>
        <w:gridCol w:w="1320"/>
        <w:gridCol w:w="1092"/>
        <w:gridCol w:w="2244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829" w:type="dxa"/>
            <w:vAlign w:val="top"/>
            <w:textDirection w:val="lrTb"/>
            <w:noWrap w:val="false"/>
          </w:tcPr>
          <w:p>
            <w:pPr>
              <w:ind w:left="0" w:right="0" w:firstLine="709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479" w:type="dxa"/>
            <w:vAlign w:val="top"/>
            <w:textDirection w:val="lrTb"/>
            <w:noWrap w:val="false"/>
          </w:tcPr>
          <w:p>
            <w:pPr>
              <w:ind w:left="0" w:right="0" w:firstLine="181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Написание шифра на издании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961" w:type="dxa"/>
            <w:vAlign w:val="top"/>
            <w:textDirection w:val="lrTb"/>
            <w:noWrap w:val="false"/>
          </w:tcPr>
          <w:p>
            <w:pPr>
              <w:ind w:left="0" w:right="0" w:firstLine="181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Формирование БЗ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320" w:type="dxa"/>
            <w:vAlign w:val="top"/>
            <w:textDirection w:val="lrTb"/>
            <w:noWrap w:val="false"/>
          </w:tcPr>
          <w:p>
            <w:pPr>
              <w:ind w:left="0" w:right="0" w:firstLine="181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Наклейка кармашка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092" w:type="dxa"/>
            <w:vAlign w:val="top"/>
            <w:textDirection w:val="lrTb"/>
            <w:noWrap w:val="false"/>
          </w:tcPr>
          <w:p>
            <w:pPr>
              <w:ind w:left="0" w:right="0" w:firstLine="181"/>
              <w:jc w:val="both"/>
              <w:spacing w:after="0"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Выдача книг</w:t>
            </w:r>
            <w:r/>
          </w:p>
          <w:p>
            <w:pPr>
              <w:ind w:left="0" w:right="0" w:firstLine="181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244" w:type="dxa"/>
            <w:vAlign w:val="top"/>
            <w:textDirection w:val="lrTb"/>
            <w:noWrap w:val="false"/>
          </w:tcPr>
          <w:p>
            <w:pPr>
              <w:ind w:left="0" w:right="0" w:firstLine="181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Перерегистрация читателей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829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Дата 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479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19 экз.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961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5 описаний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320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12 карм.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092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15 книг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244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10 чит.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829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Дата 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479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21 экз.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961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7 описаний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320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9 карм.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092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14 книг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244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8 чит.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829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Дата 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479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25 экз.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961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9 описаний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320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14 карм.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092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16 книг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244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11 чит.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829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Дата 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479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22 экз.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961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6 описаний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320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12 карм.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092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17 книг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244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9 чит.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829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Итог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479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87 экз.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961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27 описаний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320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47 карм.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1092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62 книги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60" w:type="dxa"/>
              <w:right w:w="60" w:type="dxa"/>
              <w:bottom w:w="60" w:type="dxa"/>
            </w:tcMar>
            <w:tcW w:w="2244" w:type="dxa"/>
            <w:vAlign w:val="top"/>
            <w:textDirection w:val="lrTb"/>
            <w:noWrap w:val="false"/>
          </w:tcPr>
          <w:p>
            <w:pPr>
              <w:ind w:left="0" w:right="0" w:firstLine="227"/>
              <w:jc w:val="both"/>
              <w:spacing w:line="276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</w:rPr>
              <w:t xml:space="preserve">38 читателей</w:t>
            </w:r>
            <w:r/>
          </w:p>
        </w:tc>
      </w:tr>
    </w:tbl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Из возникающих проблем, видно, что этот процесс можно и нужно автоматизировать. Можно собирать ежедневную информацию о работе сотрудников, автоматизировав при этом формирование отчетов. Это требует запрета сотрудникам на уровне системы вручную указывать пр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оцессы и меры измерения, что требует полной унификации процессов и их мер измерения внутри библиотеки.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Именно поэтому НБ БГУ задумалась об автоматизации процесса сбора статистики и формирования сводных отчетов о своей деятельности.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Также в процессе анализа требований выявлены следующие проблемы:</w:t>
      </w:r>
      <w:r/>
    </w:p>
    <w:p>
      <w:pPr>
        <w:pStyle w:val="834"/>
        <w:numPr>
          <w:ilvl w:val="0"/>
          <w:numId w:val="9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Необходимость ведения полной истории переходов сотрудников из одного отдела в другой для правильного формирования отчетов. Если в заданный период времени сотрудник не работал в этом отделе, то в актуальном отчете отдела этого сотрудника не должно быть;</w:t>
      </w:r>
      <w:r/>
    </w:p>
    <w:p>
      <w:pPr>
        <w:pStyle w:val="834"/>
        <w:numPr>
          <w:ilvl w:val="0"/>
          <w:numId w:val="9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Необходимость вести полную историю назначения рабочих процессов сотрудникам отдела. Если в заданный период времени сотруднику назначили задачу и в дальнейшем сотрудник, по каким-то причинам, перестал работать, то в актуальном отчете отдела сотрудник, с пос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тавленной перед ним задачей, должен отметиться в отчете;</w:t>
      </w:r>
      <w:r/>
    </w:p>
    <w:p>
      <w:pPr>
        <w:pStyle w:val="834"/>
        <w:numPr>
          <w:ilvl w:val="0"/>
          <w:numId w:val="9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Необходимость категоризации процессов на основе названий отделов. Одинаковые по сути и содержанию рабочие процессы имеют различные названия и для этого необходима категоризация рабочих процессов;</w:t>
      </w:r>
      <w:r/>
    </w:p>
    <w:p>
      <w:pPr>
        <w:pStyle w:val="834"/>
        <w:numPr>
          <w:ilvl w:val="0"/>
          <w:numId w:val="9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Учет внутренней иерархии подотделов. Кроме отделов в системе присутствуют сектора, некие подотделы имеют свою внутреннюю иерархию.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56"/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1.3. Требования к системе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Научной библиотекой БГУ было представлено техническое задание (см. приложение 1) на разработку информационной системы учета рабочего времени сотрудников НБ.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соответствии с техническим заданием были выдвинуты следующие требования к системе:</w:t>
      </w:r>
      <w:r/>
    </w:p>
    <w:p>
      <w:pPr>
        <w:pStyle w:val="834"/>
        <w:numPr>
          <w:ilvl w:val="0"/>
          <w:numId w:val="10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Доступность системы с любого компьютера внутри локальной сети БГУ;</w:t>
      </w:r>
      <w:r/>
    </w:p>
    <w:p>
      <w:pPr>
        <w:pStyle w:val="834"/>
        <w:numPr>
          <w:ilvl w:val="0"/>
          <w:numId w:val="10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Возможность внесения рабочих процессов;</w:t>
      </w:r>
      <w:r/>
    </w:p>
    <w:p>
      <w:pPr>
        <w:pStyle w:val="834"/>
        <w:numPr>
          <w:ilvl w:val="0"/>
          <w:numId w:val="10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Реализация ролевой системы разделения прав доступа;</w:t>
      </w:r>
      <w:r/>
    </w:p>
    <w:p>
      <w:pPr>
        <w:pStyle w:val="834"/>
        <w:numPr>
          <w:ilvl w:val="0"/>
          <w:numId w:val="10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Реализация автоматизированного формирование отчета по сотруднику;</w:t>
      </w:r>
      <w:r/>
    </w:p>
    <w:p>
      <w:pPr>
        <w:pStyle w:val="834"/>
        <w:numPr>
          <w:ilvl w:val="0"/>
          <w:numId w:val="10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Реализация автоматизированного формирование отчета по отделу;</w:t>
      </w:r>
      <w:r/>
    </w:p>
    <w:p>
      <w:pPr>
        <w:pStyle w:val="834"/>
        <w:numPr>
          <w:ilvl w:val="0"/>
          <w:numId w:val="10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Реализация автоматизированного формирование отчета по библиотеке;</w:t>
      </w:r>
      <w:r/>
    </w:p>
    <w:p>
      <w:pPr>
        <w:pStyle w:val="834"/>
        <w:numPr>
          <w:ilvl w:val="0"/>
          <w:numId w:val="10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Возможность администрирования рабочих процессов;</w:t>
      </w:r>
      <w:r/>
    </w:p>
    <w:p>
      <w:pPr>
        <w:pStyle w:val="834"/>
        <w:numPr>
          <w:ilvl w:val="0"/>
          <w:numId w:val="10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Возможность администрирования мер измерений;</w:t>
      </w:r>
      <w:r/>
    </w:p>
    <w:p>
      <w:pPr>
        <w:pStyle w:val="834"/>
        <w:numPr>
          <w:ilvl w:val="0"/>
          <w:numId w:val="10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Возможность добавления/удаления сотрудников/отделов;</w:t>
      </w:r>
      <w:r/>
    </w:p>
    <w:p>
      <w:pPr>
        <w:pStyle w:val="834"/>
        <w:numPr>
          <w:ilvl w:val="0"/>
          <w:numId w:val="10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Возможность резервного сохранения удаленных данных;</w:t>
      </w:r>
      <w:r/>
    </w:p>
    <w:p>
      <w:pPr>
        <w:ind w:left="0" w:right="0" w:firstLine="709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709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рамках рассматриваемого проекта разрабатывается информационная система учета рабочего времени сотрудников Научной библиотеки БГУ, которая должна функционировать как электронный ресурс, размещенный в локальной сети БГУ.</w:t>
      </w:r>
      <w:r/>
    </w:p>
    <w:p>
      <w:pPr>
        <w:ind w:left="0" w:right="0" w:firstLine="709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Согласно техническому заданию система должна реализовывать авторизацию пользователей путем разделения прав доступа.</w:t>
      </w:r>
      <w:r/>
    </w:p>
    <w:p>
      <w:pPr>
        <w:ind w:left="0" w:right="0" w:firstLine="709"/>
        <w:jc w:val="center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1.3.1. Ролевая система разделения прав доступа</w:t>
      </w:r>
      <w:r/>
    </w:p>
    <w:p>
      <w:pPr>
        <w:ind w:left="0" w:right="0" w:firstLine="709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Планируется, что система будет доступна только в локальной сети Бурятского государственного университета при помощи веб - браузера, которая будет доступна только специалистам Научной библиотеки БГУ. Разрабатываемый ресурс должен иметь удобный и понятный ин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терфейс, а также гибкий поиск по отчетам. Система должна быть доступна ограниченному числу пользователей и позволять осуществлять управление ресурсом. Следовательно, должна быть реализована ролевая система разделения прав доступа к системе, чтобы каждый со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трудник ввел учет своего рабочего времени. Выделены следующие права доступа:</w:t>
      </w:r>
      <w:r/>
    </w:p>
    <w:p>
      <w:pPr>
        <w:pStyle w:val="834"/>
        <w:numPr>
          <w:ilvl w:val="0"/>
          <w:numId w:val="11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сотрудник;</w:t>
      </w:r>
      <w:r/>
    </w:p>
    <w:p>
      <w:pPr>
        <w:pStyle w:val="834"/>
        <w:numPr>
          <w:ilvl w:val="0"/>
          <w:numId w:val="11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заведующий отделом;</w:t>
      </w:r>
      <w:r/>
    </w:p>
    <w:p>
      <w:pPr>
        <w:pStyle w:val="834"/>
        <w:numPr>
          <w:ilvl w:val="0"/>
          <w:numId w:val="11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методист.</w:t>
      </w:r>
      <w:r/>
    </w:p>
    <w:p>
      <w:pPr>
        <w:ind w:left="0" w:right="0" w:firstLine="709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709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Также были выделены следующие отделы, в которых присутствуют </w:t>
      </w:r>
      <w:r>
        <w:rPr>
          <w:rFonts w:ascii="Times New Roman" w:hAnsi="Times New Roman" w:eastAsia="Times New Roman" w:cs="Times New Roman"/>
          <w:color w:val="000000"/>
          <w:sz w:val="28"/>
          <w:highlight w:val="white"/>
        </w:rPr>
        <w:t xml:space="preserve">базовые структурные подразделения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(секторы):</w:t>
      </w:r>
      <w:r/>
    </w:p>
    <w:p>
      <w:pPr>
        <w:pStyle w:val="834"/>
        <w:numPr>
          <w:ilvl w:val="0"/>
          <w:numId w:val="12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Научно-методический отдел;</w:t>
      </w:r>
      <w:r/>
    </w:p>
    <w:p>
      <w:pPr>
        <w:pStyle w:val="834"/>
        <w:numPr>
          <w:ilvl w:val="0"/>
          <w:numId w:val="12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Информационно-библиографический отдел с сектором информационно-библиографической и наукометрической работы;</w:t>
      </w:r>
      <w:r/>
    </w:p>
    <w:p>
      <w:pPr>
        <w:pStyle w:val="834"/>
        <w:numPr>
          <w:ilvl w:val="0"/>
          <w:numId w:val="12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Отдел комплектования и научной обработки фондов с секторами книгообеспеченности, комплектования и учета фондов, научной обработки фондов;</w:t>
      </w:r>
      <w:r/>
    </w:p>
    <w:p>
      <w:pPr>
        <w:pStyle w:val="834"/>
        <w:numPr>
          <w:ilvl w:val="0"/>
          <w:numId w:val="12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Отдел основного книгохранения;</w:t>
      </w:r>
      <w:r/>
    </w:p>
    <w:p>
      <w:pPr>
        <w:pStyle w:val="834"/>
        <w:numPr>
          <w:ilvl w:val="0"/>
          <w:numId w:val="12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Отдел национальной и краеведческой литературы;</w:t>
      </w:r>
      <w:r/>
    </w:p>
    <w:p>
      <w:pPr>
        <w:pStyle w:val="834"/>
        <w:numPr>
          <w:ilvl w:val="0"/>
          <w:numId w:val="12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Отдел учета публикационной статистики;</w:t>
      </w:r>
      <w:r/>
    </w:p>
    <w:p>
      <w:pPr>
        <w:pStyle w:val="834"/>
        <w:numPr>
          <w:ilvl w:val="0"/>
          <w:numId w:val="12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Отдел обслуживания научной литературой с сектором редких и ценных изданий;</w:t>
      </w:r>
      <w:r/>
    </w:p>
    <w:p>
      <w:pPr>
        <w:pStyle w:val="834"/>
        <w:numPr>
          <w:ilvl w:val="0"/>
          <w:numId w:val="12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Отдел обслуживания учебной и художественной литературой;</w:t>
      </w:r>
      <w:r/>
    </w:p>
    <w:p>
      <w:pPr>
        <w:pStyle w:val="834"/>
        <w:numPr>
          <w:ilvl w:val="0"/>
          <w:numId w:val="12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Дирекция.</w:t>
      </w:r>
      <w:r/>
    </w:p>
    <w:p>
      <w:pPr>
        <w:pStyle w:val="658"/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1.3.2. Рабочие процессы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Каждый сотрудник в течении рабочего дня выполняет процессы, которые отличаются между собой единицей измерения, времени в часах, необходимостью описании работы, а также присутствует ежедневный автоматический процесс, такой как "подготовка рабочего места". С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уществуют три вида рабочих процессов:</w:t>
      </w:r>
      <w:r/>
    </w:p>
    <w:p>
      <w:pPr>
        <w:pStyle w:val="834"/>
        <w:numPr>
          <w:ilvl w:val="0"/>
          <w:numId w:val="13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количественный процесс. Такой процесс имеет точную количественную меру измерения. Например, внесение библиографического описания в базу данных. Мерой измерения здесь является одно описание; </w:t>
      </w:r>
      <w:r/>
    </w:p>
    <w:p>
      <w:pPr>
        <w:pStyle w:val="834"/>
        <w:numPr>
          <w:ilvl w:val="0"/>
          <w:numId w:val="13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неколичественный процесс. Процесс, не имеющий явной количественной меры. Например, повышение квалификации. Здесь мерой измерения является час, но явной нормы времени на единицу измерения на этот процесс нет. В таких процессах зачастую необходимо заполнение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описания выполненной работы. В приведенном примере — описание процесса повышения квалификации (онлайн-курс, лекция, тема занятия);</w:t>
      </w:r>
      <w:r/>
    </w:p>
    <w:p>
      <w:pPr>
        <w:pStyle w:val="834"/>
        <w:numPr>
          <w:ilvl w:val="0"/>
          <w:numId w:val="13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ежедневный разовый процесс. Процесс, который выполняется сотрудником раз в сутки. Например,подготовка рабочего места; заполнение дневника. Этот процесс выполняется лишь один раз в сутки и имеет точную норму времени.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Были выявлены следующие основные процессы:</w:t>
      </w:r>
      <w:r/>
    </w:p>
    <w:p>
      <w:pPr>
        <w:pStyle w:val="834"/>
        <w:numPr>
          <w:ilvl w:val="0"/>
          <w:numId w:val="14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Принятие и анализ заявок;</w:t>
      </w:r>
      <w:r/>
    </w:p>
    <w:p>
      <w:pPr>
        <w:pStyle w:val="834"/>
        <w:numPr>
          <w:ilvl w:val="0"/>
          <w:numId w:val="14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Заключение, согласование и составление договоров;</w:t>
      </w:r>
      <w:r/>
    </w:p>
    <w:p>
      <w:pPr>
        <w:pStyle w:val="834"/>
        <w:numPr>
          <w:ilvl w:val="0"/>
          <w:numId w:val="14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Консультация сотрудников и читателей;</w:t>
      </w:r>
      <w:r/>
    </w:p>
    <w:p>
      <w:pPr>
        <w:pStyle w:val="834"/>
        <w:numPr>
          <w:ilvl w:val="0"/>
          <w:numId w:val="14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Подбор, поиск и выдача изданий;</w:t>
      </w:r>
      <w:r/>
    </w:p>
    <w:p>
      <w:pPr>
        <w:pStyle w:val="834"/>
        <w:numPr>
          <w:ilvl w:val="0"/>
          <w:numId w:val="14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Работа с базой данных;</w:t>
      </w:r>
      <w:r/>
    </w:p>
    <w:p>
      <w:pPr>
        <w:pStyle w:val="834"/>
        <w:numPr>
          <w:ilvl w:val="0"/>
          <w:numId w:val="14"/>
        </w:numPr>
        <w:ind w:right="0"/>
        <w:jc w:val="both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Реставрация, передвижка книг;</w:t>
      </w:r>
      <w:r/>
    </w:p>
    <w:p>
      <w:pPr>
        <w:ind w:left="709" w:right="0" w:firstLine="0"/>
        <w:jc w:val="center"/>
        <w:spacing w:after="198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1.3.3. Резервное сохранение данных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Во избежание случайного удаления и возможности восстановления удаленных данных приложение должно реализовывать возможность резервного сохранения удаленных данных.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Резервные копии имеют две различные цели. Основная цель состоит в том, чтобы восстановить данные после их потери, будь то путем удаления или повреждения данных. Вторичной целью резервного копирования является восстановление данных с более раннего времени в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соответствии с политикой хранения данных, определяемой пользователем. Хотя резервные копии представляют собой простое восстановление после сбоя и должны быть частью любого плана аварийного восстановления. Одной из причин этого является то, что компьютерна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я система или другая сложная конфигурация, такая как компьютерный кластер, активный сервер каталогов или сервер базы данных, просто восстанавливают данные из резервной копии.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Поскольку система резервного копирования содержит по крайней мере одну копию всех данных, которые считаются экономичными, требования к хранению данных могут быть значительными. Организация этого пространства для хранения и управление процессом резервного к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опирования может стать сложной задачей.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Модель хранилища данных может использоваться для обеспечения структуры хранилища. В настоящее время существует множество различных типов устройств хранения данных, которые полезны для создания резервных копий. Существует также множество способов, которыми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эти устройства могут быть организованы для обеспечения географической избыточности, безопасности данных и переносимости.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Перед отправкой данных в места их хранения они выбираются, извлекаются и обрабатываются. Для оптимизации процедуры резервного копирования было разработано много разных методов. К ним относятся, в частности, оптимизация работы с открытыми файлами и источник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ами "живых" данных, а также сжатие, шифрование и дедупликация. Каждая схема резервного копирования должна включать в себя "сухие прогоны", которые подтверждают достоверность резервных копий данных. Важно признать ограничения и человеческие факторы, участву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ющие в любой схеме резервного копирования.</w:t>
      </w:r>
      <w:r/>
    </w:p>
    <w:p>
      <w:pPr>
        <w:ind w:left="0" w:right="0" w:firstLine="709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54"/>
        <w:ind w:left="120" w:right="12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 w:type="page" w:clear="all"/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Алан Шаллоуей, Джеймс Р. Тротт; Шаблоны проектирования. Новый подход к объектно-ориентированному анализу и проектированию, –М.: Вильямс, 2012. – 288 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Бадд Т., Объектно-ориентированное программирование в действии. – СПб: Питер, 2014, – 478с.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Б. Маклафлин, Г. Поллайс, Д. Уэст, Объектно-ориентированный анализ и проектирование, – СПб: Питер, 2013, -608 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Вайсфельд М.: Объектно-ориентированное мышление, - СПб.: Питер, 2013.-304 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Вейтман Виктор. Программирование для Web, Диалектика, 2009, – 368 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Влиссидес Дж. Применение шаблонов проектирования. Дополнительные штрихи. - М.: Вильямс, 2013. – 144 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В. Васвани. MySQL: использование и администрирование = MySQLDatabaseUsage&amp;Administration. — М.: Питер, 2011. – 368 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В. Васвани. MySQL: использование и администрирование = MySQLDatabaseUsage&amp;Administration. — М.: Питер, 2011. – 368 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Джейсон Ленгсторф. PHP и jQuery для профессионалов (Pro PHP andjQuery). – М.: Вильямс, 2010. – 352 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Дюбуа Поль. MySQL. - М.: ООО «И.Д. Вильямс»2011, –342 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Зандстра М. PHP: объекты, шаблоны и методы программирования, 3-е изд.// Зандстра М. - М.: ООО «И.Д. Вильямс», 2011, – 560 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Карвин Б. Программирование баз данных SQL. Типичные ошибки и их устранение / Б. Карвин. - М.: 2012.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Квентин Зервас. Web 2.0: создание приложений на PHP = PracticalWeb 2.0 Applicationswith PHP. — М.: </w:t>
      </w:r>
      <w:hyperlink r:id="rId9" w:tooltip="https://ru.wikipedia.org/w/index.php?title=%D0%92%D0%B8%D0%BB%D1%8C%D1%8F%D0%BC%D1%81_(%D0%B8%D0%B7%D0%B4%D0%B0%D1%82%D0%B5%D0%BB%D1%8C%D1%81%D1%82%D0%B2%D0%BE)&amp;action=edit&amp;redlink=1" w:history="1">
        <w:r>
          <w:rPr>
            <w:rStyle w:val="812"/>
            <w:rFonts w:ascii="Times New Roman" w:hAnsi="Times New Roman" w:eastAsia="Times New Roman" w:cs="Times New Roman"/>
            <w:color w:val="000080"/>
            <w:sz w:val="28"/>
            <w:u w:val="single"/>
          </w:rPr>
          <w:t xml:space="preserve">«Вильямс»</w:t>
        </w:r>
      </w:hyperlink>
      <w:r>
        <w:rPr>
          <w:rFonts w:ascii="Times New Roman" w:hAnsi="Times New Roman" w:eastAsia="Times New Roman" w:cs="Times New Roman"/>
          <w:color w:val="000000"/>
          <w:sz w:val="28"/>
        </w:rPr>
        <w:t xml:space="preserve">,2009. — С. 544.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Кузнецов Максим, Симдянов Игорь. MySQL на примерах. – Спб.: БХВ-Петербург, 2012. –952 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Кузнецов М., Симдянов И. PHP. Практика создания Web-сайтов. — 2-е изд. перераб. и доп. — Спб.: </w:t>
      </w:r>
      <w:hyperlink r:id="rId10" w:tooltip="https://ru.wikipedia.org/w/index.php?title=%D0%91%D0%A5%D0%92-%D0%9F%D0%B5%D1%82%D0%B5%D1%80%D0%B1%D1%83%D1%80%D0%B3_(%D0%B8%D0%B7%D0%B4%D0%B0%D1%82%D0%B5%D0%BB%D1%8C%D1%81%D1%82%D0%B2%D0%BE)&amp;action=edit&amp;redlink=1" w:history="1">
        <w:r>
          <w:rPr>
            <w:rStyle w:val="812"/>
            <w:rFonts w:ascii="Times New Roman" w:hAnsi="Times New Roman" w:eastAsia="Times New Roman" w:cs="Times New Roman"/>
            <w:color w:val="000000"/>
            <w:sz w:val="28"/>
            <w:u w:val="single"/>
          </w:rPr>
          <w:t xml:space="preserve">«БХВ-Петербург»</w:t>
        </w:r>
      </w:hyperlink>
      <w:r>
        <w:rPr>
          <w:rFonts w:ascii="Times New Roman" w:hAnsi="Times New Roman" w:eastAsia="Times New Roman" w:cs="Times New Roman"/>
          <w:color w:val="000000"/>
          <w:sz w:val="28"/>
        </w:rPr>
        <w:t xml:space="preserve">, 2008. — С. 1264.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Кузнецов М., Симдянов И. Самоучитель MySQL 5. –Спб.: БХВ-Петербург, 2011. —560 c.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Ленгсторф Дж. PHP и jQuery для профессионалов (Pro PHP andjQuery) / Дж. Ленгсторф. - М.: Издательский дом “Вильямс”, 2010. - 352 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Л. Веллинг, Л. Томсон, Разработка веб-приложений с помощью PHP и MySQL, 4-е издание, - М.: Вильямс, 2013. -848 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Мартин Р.К., НьюкиркДж.В., Косс Р.С. Быстрая разработка программ: принципы, примеры, практика, - М.: Вильямс, 2009.-752 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Олищук Андрей Владимирович Разработка Web-приложений на PHP 5. Профессиональная работа. — М.: Вильямс, 2006. —352 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Официальный сайт НБ им. Е.И. Овсянкина[электронный ресурс] режим доступа </w:t>
      </w:r>
      <w:r>
        <w:rPr>
          <w:rFonts w:ascii="Times New Roman" w:hAnsi="Times New Roman" w:eastAsia="Times New Roman" w:cs="Times New Roman"/>
          <w:color w:val="0070c0"/>
          <w:sz w:val="28"/>
          <w:u w:val="single"/>
        </w:rPr>
        <w:t xml:space="preserve">http://library.narfu.ru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Официальный сайт БГУ [электронный ресурс] режим доступа: </w:t>
      </w:r>
      <w:hyperlink r:id="rId11" w:tooltip="http://www.bsu.ru/" w:history="1">
        <w:r>
          <w:rPr>
            <w:rStyle w:val="812"/>
            <w:rFonts w:ascii="Times New Roman" w:hAnsi="Times New Roman" w:eastAsia="Times New Roman" w:cs="Times New Roman"/>
            <w:color w:val="000080"/>
            <w:sz w:val="28"/>
            <w:u w:val="none"/>
          </w:rPr>
          <w:t xml:space="preserve">http://www.bsu.ru</w:t>
        </w:r>
      </w:hyperlink>
      <w:r/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ПорталАкадемик [электронный ресурс] режим доступа:</w:t>
      </w:r>
      <w:hyperlink r:id="rId12" w:tooltip="http://www.bsu.ru/" w:history="1">
        <w:r>
          <w:rPr>
            <w:rStyle w:val="812"/>
            <w:rFonts w:ascii="Times New Roman" w:hAnsi="Times New Roman" w:eastAsia="Times New Roman" w:cs="Times New Roman"/>
            <w:color w:val="000080"/>
            <w:sz w:val="28"/>
            <w:u w:val="single"/>
          </w:rPr>
          <w:t xml:space="preserve">http://www.dic.academic.ru</w:t>
        </w:r>
      </w:hyperlink>
      <w:r>
        <w:rPr>
          <w:rFonts w:ascii="Times New Roman" w:hAnsi="Times New Roman" w:eastAsia="Times New Roman" w:cs="Times New Roman"/>
          <w:color w:val="000000"/>
          <w:sz w:val="22"/>
        </w:rPr>
        <w:t xml:space="preserve">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Порталhabr[электронный ресурс] режим доступа:</w:t>
      </w:r>
      <w:hyperlink r:id="rId13" w:tooltip="http://www.bsu.ru/" w:history="1">
        <w:r>
          <w:rPr>
            <w:rStyle w:val="812"/>
            <w:rFonts w:ascii="Times New Roman" w:hAnsi="Times New Roman" w:eastAsia="Times New Roman" w:cs="Times New Roman"/>
            <w:color w:val="000080"/>
            <w:sz w:val="28"/>
            <w:u w:val="single"/>
          </w:rPr>
          <w:t xml:space="preserve">http://www.habr.com</w:t>
        </w:r>
      </w:hyperlink>
      <w:r>
        <w:rPr>
          <w:rFonts w:ascii="Times New Roman" w:hAnsi="Times New Roman" w:eastAsia="Times New Roman" w:cs="Times New Roman"/>
          <w:color w:val="000000"/>
          <w:sz w:val="22"/>
        </w:rPr>
        <w:t xml:space="preserve">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Порталmedium[электронный ресурс] режим доступа:</w:t>
      </w:r>
      <w:hyperlink r:id="rId14" w:tooltip="http://www.bsu.ru/" w:history="1">
        <w:r>
          <w:rPr>
            <w:rStyle w:val="812"/>
            <w:rFonts w:ascii="Times New Roman" w:hAnsi="Times New Roman" w:eastAsia="Times New Roman" w:cs="Times New Roman"/>
            <w:color w:val="000080"/>
            <w:sz w:val="28"/>
            <w:u w:val="single"/>
          </w:rPr>
          <w:t xml:space="preserve">http://www.medium.com</w:t>
        </w:r>
      </w:hyperlink>
      <w:r>
        <w:rPr>
          <w:rFonts w:ascii="Times New Roman" w:hAnsi="Times New Roman" w:eastAsia="Times New Roman" w:cs="Times New Roman"/>
          <w:color w:val="000000"/>
          <w:sz w:val="22"/>
        </w:rPr>
        <w:t xml:space="preserve">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ПорталOpensource[электронный ресурс] режим доступа: </w:t>
      </w:r>
      <w:hyperlink r:id="rId15" w:tooltip="http://www.bsu.ru/" w:history="1">
        <w:r>
          <w:rPr>
            <w:rStyle w:val="812"/>
            <w:rFonts w:ascii="Times New Roman" w:hAnsi="Times New Roman" w:eastAsia="Times New Roman" w:cs="Times New Roman"/>
            <w:color w:val="000080"/>
            <w:sz w:val="28"/>
            <w:u w:val="single"/>
          </w:rPr>
          <w:t xml:space="preserve">http://www.opensource.com</w:t>
        </w:r>
      </w:hyperlink>
      <w:r>
        <w:rPr>
          <w:rFonts w:ascii="Times New Roman" w:hAnsi="Times New Roman" w:eastAsia="Times New Roman" w:cs="Times New Roman"/>
          <w:color w:val="000000"/>
          <w:sz w:val="22"/>
        </w:rPr>
        <w:t xml:space="preserve">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Портал по PHP, MySQL [электронный ресурс] режим доступа: </w:t>
      </w:r>
      <w:hyperlink r:id="rId16" w:tooltip="http://www.php.su/" w:history="1">
        <w:r>
          <w:rPr>
            <w:rStyle w:val="812"/>
            <w:rFonts w:ascii="Times New Roman" w:hAnsi="Times New Roman" w:eastAsia="Times New Roman" w:cs="Times New Roman"/>
            <w:color w:val="000080"/>
            <w:sz w:val="28"/>
            <w:u w:val="none"/>
          </w:rPr>
          <w:t xml:space="preserve">http://www.php.su/</w:t>
        </w:r>
      </w:hyperlink>
      <w:r/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Руководство по PHP [электронный ресурс] режим доступа:</w:t>
      </w:r>
      <w:hyperlink r:id="rId17" w:tooltip="http://php.net/" w:history="1">
        <w:r>
          <w:rPr>
            <w:rStyle w:val="812"/>
            <w:rFonts w:ascii="Times New Roman" w:hAnsi="Times New Roman" w:eastAsia="Times New Roman" w:cs="Times New Roman"/>
            <w:color w:val="1155cc"/>
            <w:sz w:val="28"/>
            <w:u w:val="single"/>
          </w:rPr>
          <w:t xml:space="preserve">http://php.net/</w:t>
        </w:r>
      </w:hyperlink>
      <w:r/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Страница документации по фрейморкуYii2 на ресурсе GitHub[электронный ресурс] режим доступа:</w:t>
      </w:r>
      <w:hyperlink r:id="rId18" w:tooltip="https://github.com/yiisoft/yii2/tree/master/docs/guide-ru" w:history="1">
        <w:r>
          <w:rPr>
            <w:rStyle w:val="812"/>
            <w:rFonts w:ascii="Times New Roman" w:hAnsi="Times New Roman" w:eastAsia="Times New Roman" w:cs="Times New Roman"/>
            <w:color w:val="000080"/>
            <w:sz w:val="28"/>
            <w:u w:val="none"/>
          </w:rPr>
          <w:t xml:space="preserve">https://github.com/yiisoft/yii2/tree/master/docs/guide-ru</w:t>
        </w:r>
      </w:hyperlink>
      <w:r>
        <w:rPr>
          <w:rFonts w:ascii="Times New Roman" w:hAnsi="Times New Roman" w:eastAsia="Times New Roman" w:cs="Times New Roman"/>
          <w:color w:val="000000"/>
          <w:sz w:val="28"/>
        </w:rPr>
        <w:t xml:space="preserve">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Суэринг Стив, Конверс Тим, Парк Джойс. PHP и MySQL. Библия программиста, 2-е издание = PHP 6 andMySQL 6 Bible. — М.: </w:t>
      </w:r>
      <w:hyperlink r:id="rId19" w:tooltip="https://ru.wikipedia.org/w/index.php?title=%D0%94%D0%B8%D0%B0%D0%BB%D0%B5%D0%BA%D1%82%D0%B8%D0%BA%D0%B0_(%D0%B8%D0%B7%D0%B4%D0%B0%D1%82%D0%B5%D0%BB%D1%8C%D1%81%D1%82%D0%B2%D0%BE)&amp;action=edit&amp;redlink=1" w:history="1">
        <w:r>
          <w:rPr>
            <w:rStyle w:val="812"/>
            <w:rFonts w:ascii="Times New Roman" w:hAnsi="Times New Roman" w:eastAsia="Times New Roman" w:cs="Times New Roman"/>
            <w:color w:val="000080"/>
            <w:sz w:val="28"/>
            <w:u w:val="single"/>
          </w:rPr>
          <w:t xml:space="preserve">«Диалектика»</w:t>
        </w:r>
      </w:hyperlink>
      <w:r>
        <w:rPr>
          <w:rFonts w:ascii="Times New Roman" w:hAnsi="Times New Roman" w:eastAsia="Times New Roman" w:cs="Times New Roman"/>
          <w:color w:val="000000"/>
          <w:sz w:val="28"/>
        </w:rPr>
        <w:t xml:space="preserve">,2010. — С. 912.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Уоррен Генри С., «Алгоритмические трюки для программистов», 2-е издание. – М.: Вильямс, 2013, -512с.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Фримен Эр., Фримен Эл., Сьерра К., Бейтс Б. Паттерны проектирования. //Фримен Эр. –СПб.: Питер, 2011. – 656с.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Фримен А. jQuery для профессионалов — М.: «Вильямс», 2012. — 960 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Харрингтон Д., Проектирование объектно-ориентированных баз данных, – ДМК Пресс, 2011, 272с.</w:t>
      </w:r>
      <w:r/>
    </w:p>
    <w:p>
      <w:pPr>
        <w:pStyle w:val="834"/>
        <w:numPr>
          <w:ilvl w:val="0"/>
          <w:numId w:val="15"/>
        </w:numPr>
        <w:ind w:right="0"/>
        <w:jc w:val="both"/>
        <w:spacing w:after="0" w:line="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</w:rPr>
        <w:t xml:space="preserve">Шаллоуей Алан, Дж. Р. Тротт. Шаблоны проектирования. Новый подход к объектно - ориентированному анализу и проектированию. - М.: “Вильямс”, 2002. - 288 с.</w:t>
      </w:r>
      <w:r/>
    </w:p>
    <w:p>
      <w:pPr>
        <w:ind w:left="0" w:right="0" w:firstLine="709"/>
        <w:jc w:val="both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10" Type="http://schemas.openxmlformats.org/officeDocument/2006/relationships/hyperlink" Target="https://ru.wikipedia.org/w/index.php?title=%D0%91%D0%A5%D0%92-%D0%9F%D0%B5%D1%82%D0%B5%D1%80%D0%B1%D1%83%D1%80%D0%B3_(%D0%B8%D0%B7%D0%B4%D0%B0%D1%82%D0%B5%D0%BB%D1%8C%D1%81%D1%82%D0%B2%D0%BE)&amp;action=edit&amp;redlink=1" TargetMode="External"/><Relationship Id="rId11" Type="http://schemas.openxmlformats.org/officeDocument/2006/relationships/hyperlink" Target="http://www.bsu.ru/" TargetMode="External"/><Relationship Id="rId12" Type="http://schemas.openxmlformats.org/officeDocument/2006/relationships/hyperlink" Target="http://www.bsu.ru/" TargetMode="External"/><Relationship Id="rId13" Type="http://schemas.openxmlformats.org/officeDocument/2006/relationships/hyperlink" Target="http://www.bsu.ru/" TargetMode="External"/><Relationship Id="rId14" Type="http://schemas.openxmlformats.org/officeDocument/2006/relationships/hyperlink" Target="http://www.bsu.ru/" TargetMode="External"/><Relationship Id="rId15" Type="http://schemas.openxmlformats.org/officeDocument/2006/relationships/hyperlink" Target="http://www.bsu.ru/" TargetMode="External"/><Relationship Id="rId16" Type="http://schemas.openxmlformats.org/officeDocument/2006/relationships/hyperlink" Target="http://www.php.su/" TargetMode="External"/><Relationship Id="rId17" Type="http://schemas.openxmlformats.org/officeDocument/2006/relationships/hyperlink" Target="http://php.net/" TargetMode="External"/><Relationship Id="rId18" Type="http://schemas.openxmlformats.org/officeDocument/2006/relationships/hyperlink" Target="https://github.com/yiisoft/yii2/tree/master/docs/guide-ru" TargetMode="External"/><Relationship Id="rId19" Type="http://schemas.openxmlformats.org/officeDocument/2006/relationships/hyperlink" Target="https://ru.wikipedia.org/w/index.php?title=%D0%94%D0%B8%D0%B0%D0%BB%D0%B5%D0%BA%D1%82%D0%B8%D0%BA%D0%B0_(%D0%B8%D0%B7%D0%B4%D0%B0%D1%82%D0%B5%D0%BB%D1%8C%D1%81%D1%82%D0%B2%D0%BE)&amp;action=edit&amp;redlink=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Даниил Дерюгин</cp:lastModifiedBy>
  <cp:revision>2</cp:revision>
  <dcterms:modified xsi:type="dcterms:W3CDTF">2024-10-09T09:48:40Z</dcterms:modified>
</cp:coreProperties>
</file>