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val="false"/>
          <w:bCs w:val="false"/>
          <w:i w:val="false"/>
          <w:iCs w:val="false"/>
          <w:sz w:val="24"/>
          <w:szCs w:val="24"/>
        </w:rPr>
        <w:t xml:space="preserve">PDL Journal Entry: Applying an Innovative Work Environment</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val="false"/>
          <w:bCs w:val="false"/>
          <w:i w:val="false"/>
          <w:iCs w:val="false"/>
          <w:sz w:val="24"/>
          <w:szCs w:val="24"/>
        </w:rPr>
        <w:t xml:space="preserve">Nyce</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val="false"/>
          <w:bCs w:val="false"/>
          <w:i w:val="false"/>
          <w:iCs w:val="false"/>
          <w:sz w:val="24"/>
          <w:szCs w:val="24"/>
        </w:rPr>
        <w:t xml:space="preserve">Full Sail University</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val="false"/>
          <w:bCs w:val="false"/>
          <w:i w:val="false"/>
          <w:iCs w:val="false"/>
          <w:sz w:val="24"/>
          <w:szCs w:val="24"/>
        </w:rPr>
        <w:t xml:space="preserve">Business Model Development</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val="false"/>
          <w:bCs w:val="false"/>
          <w:i w:val="false"/>
          <w:iCs w:val="false"/>
          <w:sz w:val="24"/>
          <w:szCs w:val="24"/>
        </w:rPr>
        <w:t xml:space="preserve">Week 4</w:t>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i w:val="false"/>
          <w:iCs w:val="false"/>
          <w:sz w:val="24"/>
          <w:szCs w:val="24"/>
        </w:rPr>
        <w:t xml:space="preserve">Tumblr Journal Post Link:</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hyperlink w:history="1" r:id="rIddyugrdkburqwgwubefant">
        <w:r>
          <w:rPr>
            <w:rFonts w:ascii="Times New Roman" w:cs="Times New Roman" w:eastAsia="Times New Roman" w:hAnsi="Times New Roman"/>
            <w:color w:val="0563C1"/>
            <w:sz w:val="24"/>
            <w:szCs w:val="24"/>
            <w:u w:val="single"/>
          </w:rPr>
          <w:t xml:space="preserve">https://[your-tumblr-username].tumblr.com/post/[post-id]</w:t>
        </w:r>
      </w:hyperlink>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i w:val="false"/>
          <w:iCs w:val="false"/>
          <w:sz w:val="24"/>
          <w:szCs w:val="24"/>
        </w:rPr>
        <w:t xml:space="preserve">PDL Journal Entry: Applying an Innovative Work Environment</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i w:val="false"/>
          <w:iCs w:val="false"/>
          <w:sz w:val="24"/>
          <w:szCs w:val="24"/>
        </w:rPr>
        <w:t xml:space="preserve">My Original Goal</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When I set my PDL timeline goal at the start of this course, the objective was straightforward: understand how workspace design affects entrepreneurial performance and use that understanding to build out a work environment that supports the kind of focused, creative work that Golden Signature Tech Farm is going to require. I came in knowing how to engineer cloud infrastructure. What I wanted to develop was a clearer framework for engineering the physical and cultural environment around that work. Starting a business from home while maintaining a full-time career means your workspace is not optional real estate. It is either an asset or a liability, and I wanted to make sure mine was moving in the right direction.</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i w:val="false"/>
          <w:iCs w:val="false"/>
          <w:sz w:val="24"/>
          <w:szCs w:val="24"/>
        </w:rPr>
        <w:t xml:space="preserve">How the Course Met That Goal</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This course met that goal directly. The content around workplace design gave me a structured way to think about something I had mostly been approaching by instinct. Reading through Gensler's U.S. Workplace Survey research helped me understand that the best environments are not defined by the equipment in them but by how well they support different modes of work. Focus work, collaboration, and learning all require different conditions, and designing a space that handles all three is intentional work, not something that happens by accident (Gensler, 2024). That framing applied immediately to what I am building. Golden Signature Tech Farm has to function as a working farm operation, a tech workspace, and a youth education environment at the same time. Each of those contexts has different requirements, and this course helped me think about how to design for all of them without compromising any.</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The discussion around biophilic design was another piece that landed well. Kellert, Heerwagen, and Mador's work on integrating natural elements into built environments reinforced something I already knew intuitively but could not have articulated academically before this course. I work better when I am close to something natural. The lake at the back of my neighborhood is where I reset, and my Akita has become part of that routine. That is not just a personal preference. There is research behind why it works, and now I understand the mechanism well enough to build it into a workspace intentionally rather than just stumbling into it when I need a break (Kellert et al., 2008).</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i w:val="false"/>
          <w:iCs w:val="false"/>
          <w:sz w:val="24"/>
          <w:szCs w:val="24"/>
        </w:rPr>
        <w:t xml:space="preserve">What I Learned</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The biggest takeaway from this course is that environment is a business decision. It affects productivity, hiring, retention, culture, and the signal you send to anyone who walks through the door or signs on as a team member. Daniel Pink's research on motivation reinforced that people perform better when they have autonomy, a sense of mastery, and a clear purpose built into how they work (Pink, 2009). The physical space is one of the tools that either supports or undermines all three of those things. A poorly designed environment tells the team that the people who built it were not paying attention. A well-designed one communicates that the work matters.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I also learned more than I expected from watching my classmates work through their own business concepts. The variety of environments people were designing for showed me how adaptable these principles are. Good workspace design is not one-size-fits-all. It starts with understanding what the work actually demands and building backward from there.</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i w:val="false"/>
          <w:iCs w:val="false"/>
          <w:sz w:val="24"/>
          <w:szCs w:val="24"/>
        </w:rPr>
        <w:t xml:space="preserve">How I Will Apply It</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The application is already underway. My home office is getting a full redesign around the principles I picked up in this course. Iron Ore from Sherwin Williams goes up on the walls because I know the darker, lower-stimulation environment sharpens my focus for deep technical work. Better ambient lighting comes next, along with natural elements that connect the space to the agricultural side of what I am building. The Magnus raise desk I already have supports the movement and posture research. Cable management tightens the setup so it looks as intentional as it functions.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val="false"/>
          <w:bCs w:val="false"/>
          <w:i w:val="false"/>
          <w:iCs w:val="false"/>
          <w:sz w:val="24"/>
          <w:szCs w:val="24"/>
        </w:rPr>
        <w:t xml:space="preserve">For Golden Signature Tech Farm specifically, this course shaped how I am thinking about the three physical zones the operation needs: the Tech Hub for cloud and systems work, the Greenhouse Lab where hardware meets biology, and the Learning Barn for youth programming. Each zone will be designed for the mode of work it serves, with natural light, flexible layouts, and environmental cues that reinforce the purpose of the space. The goal is that anyone who walks into any of those three areas immediately understands what they are there to do. That kind of environmental clarity does not happen by accident. It is designed, and this course gave me the language and the framework to do it right.</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i w:val="false"/>
          <w:iCs w:val="false"/>
          <w:sz w:val="24"/>
          <w:szCs w:val="24"/>
        </w:rPr>
        <w:t xml:space="preserve">References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left"/>
      </w:pPr>
      <w:r>
        <w:rPr>
          <w:rFonts w:ascii="Times New Roman" w:cs="Times New Roman" w:eastAsia="Times New Roman" w:hAnsi="Times New Roman"/>
          <w:sz w:val="24"/>
          <w:szCs w:val="24"/>
        </w:rPr>
        <w:t xml:space="preserve">Gensler. (2024). Gensler U.S. workplace survey 2024. Gensler Research Institute. https://www.gensler.com/research-insight/workplace-surveys/us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left"/>
      </w:pPr>
      <w:r>
        <w:rPr>
          <w:rFonts w:ascii="Times New Roman" w:cs="Times New Roman" w:eastAsia="Times New Roman" w:hAnsi="Times New Roman"/>
          <w:sz w:val="24"/>
          <w:szCs w:val="24"/>
        </w:rPr>
        <w:t xml:space="preserve">Kellert, S. R., Heerwagen, J., &amp; Mador, M. (2008). Biophilic design: The theory, science and practice of bringing buildings to life. Wiley.</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left"/>
      </w:pPr>
      <w:r>
        <w:rPr>
          <w:rFonts w:ascii="Times New Roman" w:cs="Times New Roman" w:eastAsia="Times New Roman" w:hAnsi="Times New Roman"/>
          <w:sz w:val="24"/>
          <w:szCs w:val="24"/>
        </w:rPr>
        <w:t xml:space="preserve">Pink, D. H. (2009). Drive: The surprising truth about what motivates us. Riverhead Books.</w:t>
      </w:r>
    </w:p>
    <w:p>
      <w:pPr>
        <w:spacing w:line="480" w:before="0" w:after="0"/>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yugrdkburqwgwubefant" Type="http://schemas.openxmlformats.org/officeDocument/2006/relationships/hyperlink" Target="https://[your-tumblr-username].tumblr.com/post/[post-id]"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2026-03-30T03:11:30.043Z</dcterms:created>
  <dcterms:modified xsi:type="dcterms:W3CDTF">2026-03-30T03:11:30.064Z</dcterms:modified>
</cp:coreProperties>
</file>

<file path=docProps/custom.xml><?xml version="1.0" encoding="utf-8"?>
<Properties xmlns="http://schemas.openxmlformats.org/officeDocument/2006/custom-properties" xmlns:vt="http://schemas.openxmlformats.org/officeDocument/2006/docPropsVTypes"/>
</file>