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OpenClaw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Software Requirements Specification (SRS)</w:t>
      </w:r>
    </w:p>
    <w:p>
      <w:pPr>
        <w:spacing w:after="6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2.0  |  2025-02-03  |  Confidential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OC-SRS-2025-002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Billing Stack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PortOne V2 + NICE Payments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KRW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Introduction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This SRS defines the functional and non-functional requirements for OpenClaw, a managed AI agent rental platform targeting Korean Shorts/Reels creators. It covers authentication, billing (PortOne V2 + NICE Payments), agent execution, usage metering, and dashboard features.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Intended Audience: </w:t>
      </w:r>
      <w:r>
        <w:rPr>
          <w:rFonts w:ascii="Arial" w:cs="Arial" w:eastAsia="Arial" w:hAnsi="Arial"/>
          <w:sz w:val="22"/>
          <w:szCs w:val="22"/>
        </w:rPr>
        <w:t xml:space="preserve">Engineering team, QA, product management, and external auditors.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Scope: </w:t>
      </w:r>
      <w:r>
        <w:rPr>
          <w:rFonts w:ascii="Arial" w:cs="Arial" w:eastAsia="Arial" w:hAnsi="Arial"/>
          <w:sz w:val="22"/>
          <w:szCs w:val="22"/>
        </w:rPr>
        <w:t xml:space="preserve">v1 release targeting Korean domestic market with KRW credit-based billing.</w:t>
      </w:r>
    </w:p>
    <w:p>
      <w:pPr>
        <w:pStyle w:val="Heading1"/>
      </w:pPr>
      <w:r>
        <w:rPr>
          <w:rFonts w:ascii="Arial" w:cs="Arial" w:eastAsia="Arial" w:hAnsi="Arial"/>
        </w:rPr>
        <w:t xml:space="preserve">2. Functional Requirements</w:t>
      </w:r>
    </w:p>
    <w:p>
      <w:pPr>
        <w:pStyle w:val="Heading2"/>
      </w:pPr>
      <w:r>
        <w:rPr>
          <w:rFonts w:ascii="Arial" w:cs="Arial" w:eastAsia="Arial" w:hAnsi="Arial"/>
        </w:rPr>
        <w:t xml:space="preserve">2.1 Authentication (FR-AUTH)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000"/>
        <w:gridCol w:w="1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FR-AUTH-01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Users can sign up and log in via Kakao OAuth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FR-AUTH-02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Users can sign up and log in via email/password (Clerk)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FR-AUTH-03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issued on login with 1-hour expiry, refresh token with 30-day expiry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FR-AUTH-04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API endpoints require valid JWT except /health and /webhooks/portone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FR-AUTH-05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Webhook endpoint (/api/webhooks/portone) validates PortOne signature instead of 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FR-AUTH-06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 role can access /admin/* endpoints for user management and refund approval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FR-AUTH-07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 invalidation on password change or account suspension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2.2 Credit System (FR-CREDIT)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900"/>
        <w:gridCol w:w="18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FR-CREDIT-01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users receive 100 trial credits (one-time, non-refundable)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FR-CREDIT-02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Users can purchase credit packages: Starter (9,900 KRW / 1,100 credits), Pro (29,900 KRW / 3,500 credits), Business (99,000 KRW / 12,000 credits)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FR-CREDIT-03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prices displayed in KRW with VAT included (total price display)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FR-CREDIT-04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Credit balance visible on dashboard header at all times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FR-CREDIT-05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Credit transaction history with filtering by type (purchase, usage, refund)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FR-CREDIT-06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Credits do not expire (v1 -- expiration policy may be added in v2)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FR-CREDIT-07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Bonus credits are granted atomically with the purchase transaction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FR-CREDIT-08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Available balance = total - used - reserved. Negative available balance is impossible.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FR-CREDIT-09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 balance alert when available credits drop below estimated cost of one agent run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2.3 Payment Processing (FR-PAY)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000"/>
        <w:gridCol w:w="1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FR-PAY-01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 initiates payment via PortOne V2 JS SDK (IMP.request_pay) with merchant_uid and amount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FR-PAY-02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Supported payment methods: credit/debit card, bank transfer, KakaoPay, NaverPay, TossPay, virtual account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FR-PAY-03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 payment completion, frontend sends imp_uid to backend (POST /api/credits/verify)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FR-PAY-04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 calls PortOne V2 REST API to verify: (a) status=paid, (b) amount matches package, (c) merchant_uid matches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FR-PAY-05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 verification success, credits are granted atomically (D1 transaction + Durable Object update)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FR-PAY-06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Virtual account: system shows pending_deposit status with account number and deadline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FR-PAY-07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Virtual account: webhook from PortOne triggers server-side verification and credit grant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FR-PAY-08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Webhook idempotency: composite key (imp_uid + event_type) stored in WEBHOOK_EVENTS; duplicates return 200 without re-processing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FR-PAY-09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Failed payments: PAYMENT_ORDER status set to failed, user shown error with retry option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FR-PAY-10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Refunds require admin approval; initiated via PortOne cancel API; credits deducted atomically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FR-PAY-11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Payment receipt/confirmation sent to user email (or Kakao notification) after successful purchase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FR-PAY-12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 NEVER stores, processes, or accesses PG credentials, API keys, or raw payment data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2.4 Agent Management (FR-AGENT)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900"/>
        <w:gridCol w:w="18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FR-AGENT-01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Users can browse and select from platform-managed agent templates (Shorts Trend, Script Writer, Thumbnail Gen, SEO Optimizer)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FR-AGENT-02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Users can configure agent with channel-specific parameters (YouTube channel ID, content style, language, schedule)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FR-AGENT-03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 run requires credit reservation equal to estimated cost before execution starts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FR-AGENT-04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available credits are insufficient, run is rejected with clear message showing required vs available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FR-AGENT-05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 executes in isolated Cloudflare Sandbox (no access to other users data or system resources)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FR-AGENT-06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 run lifecycle: queued -&gt; running -&gt; completed | failed | cancelled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FR-AGENT-07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 completion, actual cost is settled: reservation adjusted, difference refunded to user balance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FR-AGENT-08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Users can cancel a running agent (partial credits refunded based on work completed)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FR-AGENT-09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 outputs (scripts, thumbnails, SEO tags) stored in R2 and accessible from dashboard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FR-AGENT-10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 execution timeout: 5 minutes max per run (configurable per agent template)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FR-AGENT-11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Failed agent runs: credits for unused portion refunded, error details logged and shown to user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FR-AGENT-12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 run history with filtering by status, date, cost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2.5 Dashboard (FR-DASH)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000"/>
        <w:gridCol w:w="1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FR-DASH-01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Overview page: credit balance, recent agent runs, usage trend chart (7d/30d)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FR-DASH-02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Credit page: purchase packages, transaction history, usage breakdown by resource type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FR-DASH-03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Agents page: configured agents list, run history, quick-start buttons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FR-DASH-04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 output viewer: preview scripts, thumbnails, SEO tags; one-click copy/download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FR-DASH-05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Settings page: profile, notification preferences, connected accounts (Kakao, YouTube)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FR-DASH-06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Korean language as default; all dates in KST; all amounts in KRW with comma formatting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FR-DASH-07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Responsive design: optimized for mobile (375px+), tablet, and desktop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3. Non-Functional Requirements</w:t>
      </w:r>
    </w:p>
    <w:p>
      <w:pPr>
        <w:pStyle w:val="Heading2"/>
      </w:pPr>
      <w:r>
        <w:rPr>
          <w:rFonts w:ascii="Arial" w:cs="Arial" w:eastAsia="Arial" w:hAnsi="Arial"/>
        </w:rPr>
        <w:t xml:space="preserve">3.1 Performance (NFR-PERF)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500"/>
        <w:gridCol w:w="2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NFR-PERF-01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response time (P95) for non-agent endpoints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200ms from Seoul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NFR-PERF-02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Payment verification round-trip (backend to PortOne API and back)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3 seconds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NFR-PERF-03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 execution start latency (queue to sandbox running)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5 seconds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NFR-PERF-04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page load (initial SSR render)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2 seconds on 4G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NFR-PERF-05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Concurrent agent runs supported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1,000 simultaneous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3.2 Security (NFR-SEC)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900"/>
        <w:gridCol w:w="19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NFR-SEC-01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payment amounts verified server-side via PortOne API (never trust frontend)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NFR-SEC-02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PortOne API keys stored in Cloudflare Workers secrets (not env vars, not code)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NFR-SEC-03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Webhook signature validation on every PortOne webhook request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NFR-SEC-04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data in transit encrypted via TLS 1.3 (Cloudflare default)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NFR-SEC-05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D1 database encrypted at rest (Cloudflare managed)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NFR-SEC-06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Sandbox isolation: agent code cannot access host filesystem, network, or other tenants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NFR-SEC-07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limiting: 100 API requests/minute per user, 10 payment attempts/hour per user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NFR-SEC-08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CORS restricted to openclaw.kr and localhost:3000 (dev)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NFR-SEC-09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Webhook payload stored encrypted; PII fields masked in logs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NFR-SEC-10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 endpoints require admin role + MFA (Clerk)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3.3 Scalability (NFR-SCALE)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400"/>
        <w:gridCol w:w="2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NFR-SCALE-01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Horizontal scaling via Cloudflare Workers (auto)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10K+ concurrent users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NFR-SCALE-02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D1 database size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10GB per database (Cloudflare limit)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NFR-SCALE-03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R2 storage for media assets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Unlimited (pay per use)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NFR-SCALE-04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Durable Object instances (one per user)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100K+ concurrent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3.4 Reliability (NFR-REL)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400"/>
        <w:gridCol w:w="2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NFR-REL-01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Platform uptime SLA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99.9% monthly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NFR-REL-02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Payment processing success rate (excluding user abandonment)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99.5%+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NFR-REL-03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 execution success rate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95%+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NFR-REL-04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Zero data loss for credit transactions (D1 + DO dual-write)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3.5 Compliance (NFR-COMP)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000"/>
        <w:gridCol w:w="1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NFR-COMP-01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PIPA (Korean Personal Information Protection Act) compliance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NFR-COMP-02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Explicit consent collection for data processing, marketing, and terms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NFR-COMP-03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data deletion on account termination within 30 days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NFR-COMP-04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Credit purchase terms clearly displayed before payment (Consumer Protection Act)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NFR-COMP-05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VAT-inclusive pricing (Korean total price display regulation)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NFR-COMP-06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Business registration number displayed on payment page (Korean e-commerce law)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API Specification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All endpoints prefixed with /api/v1. Authentication via Bearer JWT unless noted. Responses in JSON.</w:t>
      </w:r>
    </w:p>
    <w:p>
      <w:pPr>
        <w:pStyle w:val="Heading2"/>
      </w:pPr>
      <w:r>
        <w:rPr>
          <w:rFonts w:ascii="Arial" w:cs="Arial" w:eastAsia="Arial" w:hAnsi="Arial"/>
        </w:rPr>
        <w:t xml:space="preserve">4.1 Auth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3800"/>
        <w:gridCol w:w="19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/auth/kakao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Initiate Kakao OAuth flow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/auth/kakao/callback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Kakao OAuth callback, create session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Invalidate session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/auth/me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current user profile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4.2 Credit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3800"/>
        <w:gridCol w:w="19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/credits/balance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current credit balance (total, used, reserved, available)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/credits/packages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 available credit packages with KRW prices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/credits/prepare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PAYMENT_ORDER, return merchant_uid for PortOne SDK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/credits/verify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payment via PortOne API, grant credits atomically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/credits/transactions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 credit transactions with pagination and type filter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/webhooks/portone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PortOne webhook receiver (virtual account deposit, refund)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PortOne Signature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4.3 Agent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3800"/>
        <w:gridCol w:w="19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/agents/templates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 available agent templates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/agents/configs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agent configuration from template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/agents/configs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 user agent configurations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/agents/configs/:id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 agent configuration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/agents/configs/:id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Soft-delete agent configuration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4.4 Agent Run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3800"/>
        <w:gridCol w:w="19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/agents/runs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Start agent run (reserves credits, dispatches to sandbox)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/agents/runs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 agent runs with pagination, status and date filter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/agents/runs/:id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run details including outputs and usage breakdown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/agents/runs/:id/cancel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Cancel running agent (partial refund)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4.5 Admin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3800"/>
        <w:gridCol w:w="19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/admin/users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 users with search and pagination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 JWT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/admin/refunds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Approve and process refund via PortOne cancel API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 JWT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/admin/payments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 all payment orders with status filter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 JWT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/admin/credits/grant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Manual credit grant (for support / compensation)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 JWT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Data Model Summary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9 entities in D1 (SQLite). Full schema in UML document ER diagram. Key design decisions: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PAYMENT_ORDER stores PortOne-specific fields (imp_uid, merchant_uid, vbank_num, vbank_date) for full payment lifecycle tracking.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WEBHOOK_EVENT provides idempotency via composite key (imp_uid + event_type). Critical for preventing double credit grants.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CREDIT_BALANCE has computed available_credits column (total - used - reserved) with CHECK constraint preventing negative values.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CREDIT_TRANSACTION is append-only ledger. Every credit change (purchase, usage, refund, reservation, settlement) creates a new row.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Durable Objects mirror CREDIT_BALANCE for real-time atomic operations. D1 is the durable record; DO is the fast-path.</w:t>
      </w:r>
    </w:p>
    <w:p>
      <w:pPr>
        <w:pStyle w:val="Heading1"/>
      </w:pPr>
      <w:r>
        <w:rPr>
          <w:rFonts w:ascii="Arial" w:cs="Arial" w:eastAsia="Arial" w:hAnsi="Arial"/>
        </w:rPr>
        <w:t xml:space="preserve">6. Constraints and Limitations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Workers 128MB memory limit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Large media processing not possible in Workers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Offload to R2 + external services for heavy processing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D1 10GB database limit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 manage data growth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Archive old logs to R2, partition by 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Sandbox beta product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Potential instability, API changes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Abstract behind interface, Docker fallback ready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PortOne webhook retry (up to 5 times)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 handle duplicates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Idempotency key in WEBHOOK_EVENTS table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NICE Payments settlement T+2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Cash flow delay for card payments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Factor into financial planning, not user-facing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Korean business registration required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Cannot launch without Korean legal entity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Establish entity before M2 milestone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Virtual account 24-72h deposit window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may forget or decide not to pay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Auto-expire, no credits until confirmed, clear UX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OpenClaw SRS v2.0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2026-02-03T09:59:26.210Z</dcterms:created>
  <dcterms:modified xsi:type="dcterms:W3CDTF">2026-02-03T09:59:26.210Z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