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spacing w:after="400"/>
        <w:jc w:val="center"/>
      </w:pPr>
      <w:r>
        <w:rPr>
          <w:color w:val="4a5568"/>
          <w:sz w:val="24"/>
          <w:szCs w:val="24"/>
        </w:rPr>
        <w:t xml:space="preserve">TaskFlow AI - AI-Powered Task Management Platform</w:t>
      </w:r>
    </w:p>
    <w:p>
      <w:pPr>
        <w:pStyle w:val="Heading1"/>
      </w:pPr>
      <w:r>
        <w:t xml:space="preserve">1. Executive Summary</w:t>
      </w:r>
    </w:p>
    <w:p>
      <w:pPr>
        <w:spacing w:after="120"/>
      </w:pPr>
      <w:r>
        <w:t xml:space="preserve">TaskFlow AI addresses the growing need for intelligent task management solutions that eliminate friction in personal productivity workflows. By leveraging Microsoft Azure AI services, the platform offers automatic task decomposition, visual progress tracking, and seamless cross-device synchronization without requiring user accounts.</w:t>
      </w:r>
    </w:p>
    <w:p>
      <w:pPr>
        <w:spacing w:after="120"/>
      </w:pPr>
      <w:r>
        <w:t xml:space="preserve">The project targets the Microsoft Imagine Cup 2026 competition, positioning TaskFlow AI in the Education/Productivity category while demonstrating innovative use of at least two Microsoft AI services.</w:t>
      </w:r>
    </w:p>
    <w:p>
      <w:pPr>
        <w:pStyle w:val="Heading1"/>
      </w:pPr>
      <w:r>
        <w:t xml:space="preserve">2. Business Objectives</w:t>
      </w:r>
    </w:p>
    <w:p>
      <w:pPr>
        <w:pStyle w:val="Heading2"/>
      </w:pPr>
      <w:r>
        <w:t xml:space="preserve">2.1 Primary Objectives</w:t>
      </w:r>
    </w:p>
    <w:p>
      <w:pPr>
        <w:pStyle w:val="ListParagraph"/>
        <w:numPr>
          <w:ilvl w:val="0"/>
          <w:numId w:val="2"/>
        </w:numPr>
      </w:pPr>
      <w:r>
        <w:t xml:space="preserve">Deliver a functional MVP by January 1, 2025 for production deployment</w:t>
      </w:r>
    </w:p>
    <w:p>
      <w:pPr>
        <w:pStyle w:val="ListParagraph"/>
        <w:numPr>
          <w:ilvl w:val="0"/>
          <w:numId w:val="2"/>
        </w:numPr>
      </w:pPr>
      <w:r>
        <w:t xml:space="preserve">Successfully submit to Microsoft Imagine Cup 2026 by January 9, 2025 deadline</w:t>
      </w:r>
    </w:p>
    <w:p>
      <w:pPr>
        <w:pStyle w:val="ListParagraph"/>
        <w:numPr>
          <w:ilvl w:val="0"/>
          <w:numId w:val="2"/>
        </w:numPr>
      </w:pPr>
      <w:r>
        <w:t xml:space="preserve">Demonstrate effective integration of 2+ Microsoft AI services</w:t>
      </w:r>
    </w:p>
    <w:p>
      <w:pPr>
        <w:pStyle w:val="ListParagraph"/>
        <w:numPr>
          <w:ilvl w:val="0"/>
          <w:numId w:val="2"/>
        </w:numPr>
      </w:pPr>
      <w:r>
        <w:t xml:space="preserve">Achieve measurable user engagement through A/B testing by January 2</w:t>
      </w:r>
    </w:p>
    <w:p>
      <w:pPr>
        <w:pStyle w:val="Heading2"/>
      </w:pPr>
      <w:r>
        <w:t xml:space="preserve">2.2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2c5282" w:val="clear"/>
          </w:tcPr>
          <w:p>
            <w:r>
              <w:rPr>
                <w:b/>
                <w:bCs/>
                <w:color w:val="FFFFFF"/>
              </w:rPr>
              <w:t xml:space="preserve">Metric</w:t>
            </w:r>
          </w:p>
        </w:tc>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Target</w:t>
            </w:r>
          </w:p>
        </w:tc>
        <w:tc>
          <w:tcPr>
            <w:tcW w:type="dxa" w:w="2860"/>
            <w:tcBorders>
              <w:top w:val="single" w:color="CCCCCC" w:sz="1"/>
              <w:left w:val="single" w:color="CCCCCC" w:sz="1"/>
              <w:bottom w:val="single" w:color="CCCCCC" w:sz="1"/>
              <w:right w:val="single" w:color="CCCCCC" w:sz="1"/>
            </w:tcBorders>
            <w:shd w:fill="2c5282" w:val="clear"/>
          </w:tcPr>
          <w:p>
            <w:r>
              <w:rPr>
                <w:b/>
                <w:bCs/>
                <w:color w:val="FFFFFF"/>
              </w:rPr>
              <w:t xml:space="preserve">Measurement</w:t>
            </w:r>
          </w:p>
        </w:tc>
      </w:tr>
      <w:tr>
        <w:tc>
          <w:tcPr>
            <w:tcW w:type="dxa" w:w="3500"/>
            <w:tcBorders>
              <w:top w:val="single" w:color="CCCCCC" w:sz="1"/>
              <w:left w:val="single" w:color="CCCCCC" w:sz="1"/>
              <w:bottom w:val="single" w:color="CCCCCC" w:sz="1"/>
              <w:right w:val="single" w:color="CCCCCC" w:sz="1"/>
            </w:tcBorders>
          </w:tcPr>
          <w:p>
            <w:r>
              <w:t xml:space="preserve">MVP Completion</w:t>
            </w:r>
          </w:p>
        </w:tc>
        <w:tc>
          <w:tcPr>
            <w:tcW w:type="dxa" w:w="3000"/>
            <w:tcBorders>
              <w:top w:val="single" w:color="CCCCCC" w:sz="1"/>
              <w:left w:val="single" w:color="CCCCCC" w:sz="1"/>
              <w:bottom w:val="single" w:color="CCCCCC" w:sz="1"/>
              <w:right w:val="single" w:color="CCCCCC" w:sz="1"/>
            </w:tcBorders>
          </w:tcPr>
          <w:p>
            <w:r>
              <w:t xml:space="preserve">100% core features</w:t>
            </w:r>
          </w:p>
        </w:tc>
        <w:tc>
          <w:tcPr>
            <w:tcW w:type="dxa" w:w="2860"/>
            <w:tcBorders>
              <w:top w:val="single" w:color="CCCCCC" w:sz="1"/>
              <w:left w:val="single" w:color="CCCCCC" w:sz="1"/>
              <w:bottom w:val="single" w:color="CCCCCC" w:sz="1"/>
              <w:right w:val="single" w:color="CCCCCC" w:sz="1"/>
            </w:tcBorders>
          </w:tcPr>
          <w:p>
            <w:r>
              <w:t xml:space="preserve">Feature checklist</w:t>
            </w:r>
          </w:p>
        </w:tc>
      </w:tr>
      <w:tr>
        <w:tc>
          <w:tcPr>
            <w:tcW w:type="dxa" w:w="3500"/>
            <w:tcBorders>
              <w:top w:val="single" w:color="CCCCCC" w:sz="1"/>
              <w:left w:val="single" w:color="CCCCCC" w:sz="1"/>
              <w:bottom w:val="single" w:color="CCCCCC" w:sz="1"/>
              <w:right w:val="single" w:color="CCCCCC" w:sz="1"/>
            </w:tcBorders>
          </w:tcPr>
          <w:p>
            <w:r>
              <w:t xml:space="preserve">AI Task Breakdown Accuracy</w:t>
            </w:r>
          </w:p>
        </w:tc>
        <w:tc>
          <w:tcPr>
            <w:tcW w:type="dxa" w:w="3000"/>
            <w:tcBorders>
              <w:top w:val="single" w:color="CCCCCC" w:sz="1"/>
              <w:left w:val="single" w:color="CCCCCC" w:sz="1"/>
              <w:bottom w:val="single" w:color="CCCCCC" w:sz="1"/>
              <w:right w:val="single" w:color="CCCCCC" w:sz="1"/>
            </w:tcBorders>
          </w:tcPr>
          <w:p>
            <w:r>
              <w:t xml:space="preserve">&gt;80% useful subtasks</w:t>
            </w:r>
          </w:p>
        </w:tc>
        <w:tc>
          <w:tcPr>
            <w:tcW w:type="dxa" w:w="2860"/>
            <w:tcBorders>
              <w:top w:val="single" w:color="CCCCCC" w:sz="1"/>
              <w:left w:val="single" w:color="CCCCCC" w:sz="1"/>
              <w:bottom w:val="single" w:color="CCCCCC" w:sz="1"/>
              <w:right w:val="single" w:color="CCCCCC" w:sz="1"/>
            </w:tcBorders>
          </w:tcPr>
          <w:p>
            <w:r>
              <w:t xml:space="preserve">User feedback</w:t>
            </w:r>
          </w:p>
        </w:tc>
      </w:tr>
      <w:tr>
        <w:tc>
          <w:tcPr>
            <w:tcW w:type="dxa" w:w="3500"/>
            <w:tcBorders>
              <w:top w:val="single" w:color="CCCCCC" w:sz="1"/>
              <w:left w:val="single" w:color="CCCCCC" w:sz="1"/>
              <w:bottom w:val="single" w:color="CCCCCC" w:sz="1"/>
              <w:right w:val="single" w:color="CCCCCC" w:sz="1"/>
            </w:tcBorders>
          </w:tcPr>
          <w:p>
            <w:r>
              <w:t xml:space="preserve">Page Load Performance</w:t>
            </w:r>
          </w:p>
        </w:tc>
        <w:tc>
          <w:tcPr>
            <w:tcW w:type="dxa" w:w="3000"/>
            <w:tcBorders>
              <w:top w:val="single" w:color="CCCCCC" w:sz="1"/>
              <w:left w:val="single" w:color="CCCCCC" w:sz="1"/>
              <w:bottom w:val="single" w:color="CCCCCC" w:sz="1"/>
              <w:right w:val="single" w:color="CCCCCC" w:sz="1"/>
            </w:tcBorders>
          </w:tcPr>
          <w:p>
            <w:r>
              <w:t xml:space="preserve">&lt;3 seconds</w:t>
            </w:r>
          </w:p>
        </w:tc>
        <w:tc>
          <w:tcPr>
            <w:tcW w:type="dxa" w:w="2860"/>
            <w:tcBorders>
              <w:top w:val="single" w:color="CCCCCC" w:sz="1"/>
              <w:left w:val="single" w:color="CCCCCC" w:sz="1"/>
              <w:bottom w:val="single" w:color="CCCCCC" w:sz="1"/>
              <w:right w:val="single" w:color="CCCCCC" w:sz="1"/>
            </w:tcBorders>
          </w:tcPr>
          <w:p>
            <w:r>
              <w:t xml:space="preserve">Lighthouse audit</w:t>
            </w:r>
          </w:p>
        </w:tc>
      </w:tr>
      <w:tr>
        <w:tc>
          <w:tcPr>
            <w:tcW w:type="dxa" w:w="3500"/>
            <w:tcBorders>
              <w:top w:val="single" w:color="CCCCCC" w:sz="1"/>
              <w:left w:val="single" w:color="CCCCCC" w:sz="1"/>
              <w:bottom w:val="single" w:color="CCCCCC" w:sz="1"/>
              <w:right w:val="single" w:color="CCCCCC" w:sz="1"/>
            </w:tcBorders>
          </w:tcPr>
          <w:p>
            <w:r>
              <w:t xml:space="preserve">Cross-device Sync Success</w:t>
            </w:r>
          </w:p>
        </w:tc>
        <w:tc>
          <w:tcPr>
            <w:tcW w:type="dxa" w:w="3000"/>
            <w:tcBorders>
              <w:top w:val="single" w:color="CCCCCC" w:sz="1"/>
              <w:left w:val="single" w:color="CCCCCC" w:sz="1"/>
              <w:bottom w:val="single" w:color="CCCCCC" w:sz="1"/>
              <w:right w:val="single" w:color="CCCCCC" w:sz="1"/>
            </w:tcBorders>
          </w:tcPr>
          <w:p>
            <w:r>
              <w:t xml:space="preserve">&gt;95% sync rate</w:t>
            </w:r>
          </w:p>
        </w:tc>
        <w:tc>
          <w:tcPr>
            <w:tcW w:type="dxa" w:w="2860"/>
            <w:tcBorders>
              <w:top w:val="single" w:color="CCCCCC" w:sz="1"/>
              <w:left w:val="single" w:color="CCCCCC" w:sz="1"/>
              <w:bottom w:val="single" w:color="CCCCCC" w:sz="1"/>
              <w:right w:val="single" w:color="CCCCCC" w:sz="1"/>
            </w:tcBorders>
          </w:tcPr>
          <w:p>
            <w:r>
              <w:t xml:space="preserve">Server logs</w:t>
            </w:r>
          </w:p>
        </w:tc>
      </w:tr>
      <w:tr>
        <w:tc>
          <w:tcPr>
            <w:tcW w:type="dxa" w:w="3500"/>
            <w:tcBorders>
              <w:top w:val="single" w:color="CCCCCC" w:sz="1"/>
              <w:left w:val="single" w:color="CCCCCC" w:sz="1"/>
              <w:bottom w:val="single" w:color="CCCCCC" w:sz="1"/>
              <w:right w:val="single" w:color="CCCCCC" w:sz="1"/>
            </w:tcBorders>
          </w:tcPr>
          <w:p>
            <w:r>
              <w:t xml:space="preserve">User Satisfaction</w:t>
            </w:r>
          </w:p>
        </w:tc>
        <w:tc>
          <w:tcPr>
            <w:tcW w:type="dxa" w:w="3000"/>
            <w:tcBorders>
              <w:top w:val="single" w:color="CCCCCC" w:sz="1"/>
              <w:left w:val="single" w:color="CCCCCC" w:sz="1"/>
              <w:bottom w:val="single" w:color="CCCCCC" w:sz="1"/>
              <w:right w:val="single" w:color="CCCCCC" w:sz="1"/>
            </w:tcBorders>
          </w:tcPr>
          <w:p>
            <w:r>
              <w:t xml:space="preserve">&gt;4.0/5.0 rating</w:t>
            </w:r>
          </w:p>
        </w:tc>
        <w:tc>
          <w:tcPr>
            <w:tcW w:type="dxa" w:w="2860"/>
            <w:tcBorders>
              <w:top w:val="single" w:color="CCCCCC" w:sz="1"/>
              <w:left w:val="single" w:color="CCCCCC" w:sz="1"/>
              <w:bottom w:val="single" w:color="CCCCCC" w:sz="1"/>
              <w:right w:val="single" w:color="CCCCCC" w:sz="1"/>
            </w:tcBorders>
          </w:tcPr>
          <w:p>
            <w:r>
              <w:t xml:space="preserve">A/B test survey</w:t>
            </w:r>
          </w:p>
        </w:tc>
      </w:tr>
    </w:tbl>
    <w:p>
      <w:pPr>
        <w:pStyle w:val="Heading1"/>
      </w:pPr>
      <w:r>
        <w:t xml:space="preserve">3. Problem Statement</w:t>
      </w:r>
    </w:p>
    <w:p>
      <w:pPr>
        <w:pStyle w:val="Heading2"/>
      </w:pPr>
      <w:r>
        <w:t xml:space="preserve">3.1 Current Challenges</w:t>
      </w:r>
    </w:p>
    <w:p>
      <w:pPr>
        <w:spacing w:after="80"/>
      </w:pPr>
      <w:r>
        <w:t xml:space="preserve">Users face several pain points with existing task management solutions:</w:t>
      </w:r>
    </w:p>
    <w:p>
      <w:pPr>
        <w:pStyle w:val="ListParagraph"/>
        <w:numPr>
          <w:ilvl w:val="0"/>
          <w:numId w:val="3"/>
        </w:numPr>
      </w:pPr>
      <w:r>
        <w:rPr>
          <w:b/>
          <w:bCs/>
        </w:rPr>
        <w:t xml:space="preserve">Complex Setup: </w:t>
      </w:r>
      <w:r>
        <w:t xml:space="preserve">Most apps require account creation, email verification, and extensive onboarding</w:t>
      </w:r>
    </w:p>
    <w:p>
      <w:pPr>
        <w:pStyle w:val="ListParagraph"/>
        <w:numPr>
          <w:ilvl w:val="0"/>
          <w:numId w:val="3"/>
        </w:numPr>
      </w:pPr>
      <w:r>
        <w:rPr>
          <w:b/>
          <w:bCs/>
        </w:rPr>
        <w:t xml:space="preserve">Manual Task Breakdown: </w:t>
      </w:r>
      <w:r>
        <w:t xml:space="preserve">Users must manually decompose large tasks into manageable pieces</w:t>
      </w:r>
    </w:p>
    <w:p>
      <w:pPr>
        <w:pStyle w:val="ListParagraph"/>
        <w:numPr>
          <w:ilvl w:val="0"/>
          <w:numId w:val="3"/>
        </w:numPr>
      </w:pPr>
      <w:r>
        <w:rPr>
          <w:b/>
          <w:bCs/>
        </w:rPr>
        <w:t xml:space="preserve">Poor Progress Visibility: </w:t>
      </w:r>
      <w:r>
        <w:t xml:space="preserve">Difficulty seeing overall progress across multiple tasks</w:t>
      </w:r>
    </w:p>
    <w:p>
      <w:pPr>
        <w:pStyle w:val="ListParagraph"/>
        <w:numPr>
          <w:ilvl w:val="0"/>
          <w:numId w:val="3"/>
        </w:numPr>
      </w:pPr>
      <w:r>
        <w:rPr>
          <w:b/>
          <w:bCs/>
        </w:rPr>
        <w:t xml:space="preserve">Device Lock-in: </w:t>
      </w:r>
      <w:r>
        <w:t xml:space="preserve">Data often trapped on single device or requires complex sync setup</w:t>
      </w:r>
    </w:p>
    <w:p>
      <w:pPr>
        <w:pStyle w:val="ListParagraph"/>
        <w:numPr>
          <w:ilvl w:val="0"/>
          <w:numId w:val="3"/>
        </w:numPr>
      </w:pPr>
      <w:r>
        <w:rPr>
          <w:b/>
          <w:bCs/>
        </w:rPr>
        <w:t xml:space="preserve">Outdated Interfaces: </w:t>
      </w:r>
      <w:r>
        <w:t xml:space="preserve">Many productivity tools have dated, unfriendly designs</w:t>
      </w:r>
    </w:p>
    <w:p>
      <w:pPr>
        <w:pStyle w:val="Heading2"/>
      </w:pPr>
      <w:r>
        <w:t xml:space="preserve">3.2 Target Users</w:t>
      </w:r>
    </w:p>
    <w:p>
      <w:pPr>
        <w:pStyle w:val="ListParagraph"/>
        <w:numPr>
          <w:ilvl w:val="0"/>
          <w:numId w:val="3"/>
        </w:numPr>
      </w:pPr>
      <w:r>
        <w:rPr>
          <w:b/>
          <w:bCs/>
        </w:rPr>
        <w:t xml:space="preserve">Students: </w:t>
      </w:r>
      <w:r>
        <w:t xml:space="preserve">Managing coursework, projects, and deadlines</w:t>
      </w:r>
    </w:p>
    <w:p>
      <w:pPr>
        <w:pStyle w:val="ListParagraph"/>
        <w:numPr>
          <w:ilvl w:val="0"/>
          <w:numId w:val="3"/>
        </w:numPr>
      </w:pPr>
      <w:r>
        <w:rPr>
          <w:b/>
          <w:bCs/>
        </w:rPr>
        <w:t xml:space="preserve">Freelancers: </w:t>
      </w:r>
      <w:r>
        <w:t xml:space="preserve">Tracking multiple client projects simultaneously</w:t>
      </w:r>
    </w:p>
    <w:p>
      <w:pPr>
        <w:pStyle w:val="ListParagraph"/>
        <w:numPr>
          <w:ilvl w:val="0"/>
          <w:numId w:val="3"/>
        </w:numPr>
      </w:pPr>
      <w:r>
        <w:rPr>
          <w:b/>
          <w:bCs/>
        </w:rPr>
        <w:t xml:space="preserve">Remote Workers: </w:t>
      </w:r>
      <w:r>
        <w:t xml:space="preserve">Organizing tasks across devices</w:t>
      </w:r>
    </w:p>
    <w:p>
      <w:pPr>
        <w:pStyle w:val="ListParagraph"/>
        <w:numPr>
          <w:ilvl w:val="0"/>
          <w:numId w:val="3"/>
        </w:numPr>
      </w:pPr>
      <w:r>
        <w:rPr>
          <w:b/>
          <w:bCs/>
        </w:rPr>
        <w:t xml:space="preserve">Small Teams: </w:t>
      </w:r>
      <w:r>
        <w:t xml:space="preserve">Collaborative task tracking without enterprise complexity</w:t>
      </w:r>
    </w:p>
    <w:p>
      <w:pPr>
        <w:pStyle w:val="Heading1"/>
      </w:pPr>
      <w:r>
        <w:t xml:space="preserve">4. Proposed Solution</w:t>
      </w:r>
    </w:p>
    <w:p>
      <w:pPr>
        <w:pStyle w:val="Heading2"/>
      </w:pPr>
      <w:r>
        <w:t xml:space="preserve">4.1 Solution Overview</w:t>
      </w:r>
    </w:p>
    <w:p>
      <w:pPr>
        <w:spacing w:after="120"/>
      </w:pPr>
      <w:r>
        <w:t xml:space="preserve">TaskFlow AI provides an intelligent, frictionless task management experience through:</w:t>
      </w:r>
    </w:p>
    <w:p>
      <w:pPr>
        <w:pStyle w:val="ListParagraph"/>
        <w:numPr>
          <w:ilvl w:val="0"/>
          <w:numId w:val="4"/>
        </w:numPr>
      </w:pPr>
      <w:r>
        <w:rPr>
          <w:b/>
          <w:bCs/>
        </w:rPr>
        <w:t xml:space="preserve">AI-Powered Task Decomposition: </w:t>
      </w:r>
      <w:r>
        <w:t xml:space="preserve">Azure OpenAI automatically breaks complex tasks into actionable subtasks</w:t>
      </w:r>
    </w:p>
    <w:p>
      <w:pPr>
        <w:pStyle w:val="ListParagraph"/>
        <w:numPr>
          <w:ilvl w:val="0"/>
          <w:numId w:val="4"/>
        </w:numPr>
      </w:pPr>
      <w:r>
        <w:rPr>
          <w:b/>
          <w:bCs/>
        </w:rPr>
        <w:t xml:space="preserve">Visual Progress Tracking: </w:t>
      </w:r>
      <w:r>
        <w:t xml:space="preserve">Real-time percentage and graphical progress indicators</w:t>
      </w:r>
    </w:p>
    <w:p>
      <w:pPr>
        <w:pStyle w:val="ListParagraph"/>
        <w:numPr>
          <w:ilvl w:val="0"/>
          <w:numId w:val="4"/>
        </w:numPr>
      </w:pPr>
      <w:r>
        <w:rPr>
          <w:b/>
          <w:bCs/>
        </w:rPr>
        <w:t xml:space="preserve">Zero-Friction Sync: </w:t>
      </w:r>
      <w:r>
        <w:t xml:space="preserve">Simple sync codes enable cross-device access without accounts</w:t>
      </w:r>
    </w:p>
    <w:p>
      <w:pPr>
        <w:pStyle w:val="ListParagraph"/>
        <w:numPr>
          <w:ilvl w:val="0"/>
          <w:numId w:val="4"/>
        </w:numPr>
      </w:pPr>
      <w:r>
        <w:rPr>
          <w:b/>
          <w:bCs/>
        </w:rPr>
        <w:t xml:space="preserve">Modern Interface: </w:t>
      </w:r>
      <w:r>
        <w:t xml:space="preserve">Clean, intuitive design with mobile-first responsive layout</w:t>
      </w:r>
    </w:p>
    <w:p>
      <w:pPr>
        <w:pStyle w:val="ListParagraph"/>
        <w:numPr>
          <w:ilvl w:val="0"/>
          <w:numId w:val="4"/>
        </w:numPr>
      </w:pPr>
      <w:r>
        <w:rPr>
          <w:b/>
          <w:bCs/>
        </w:rPr>
        <w:t xml:space="preserve">Smart Notifications: </w:t>
      </w:r>
      <w:r>
        <w:t xml:space="preserve">Azure-powered push notifications for task reminders</w:t>
      </w:r>
    </w:p>
    <w:p>
      <w:pPr>
        <w:pStyle w:val="Heading2"/>
      </w:pPr>
      <w:r>
        <w:t xml:space="preserve">4.2 Competitive Differentiation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Feature</w:t>
            </w:r>
          </w:p>
        </w:tc>
        <w:tc>
          <w:tcPr>
            <w:tcW w:type="dxa" w:w="2200"/>
            <w:tcBorders>
              <w:top w:val="single" w:color="CCCCCC" w:sz="1"/>
              <w:left w:val="single" w:color="CCCCCC" w:sz="1"/>
              <w:bottom w:val="single" w:color="CCCCCC" w:sz="1"/>
              <w:right w:val="single" w:color="CCCCCC" w:sz="1"/>
            </w:tcBorders>
            <w:shd w:fill="2c5282" w:val="clear"/>
          </w:tcPr>
          <w:p>
            <w:r>
              <w:rPr>
                <w:b/>
                <w:bCs/>
                <w:color w:val="FFFFFF"/>
              </w:rPr>
              <w:t xml:space="preserve">TaskFlow AI</w:t>
            </w:r>
          </w:p>
        </w:tc>
        <w:tc>
          <w:tcPr>
            <w:tcW w:type="dxa" w:w="2200"/>
            <w:tcBorders>
              <w:top w:val="single" w:color="CCCCCC" w:sz="1"/>
              <w:left w:val="single" w:color="CCCCCC" w:sz="1"/>
              <w:bottom w:val="single" w:color="CCCCCC" w:sz="1"/>
              <w:right w:val="single" w:color="CCCCCC" w:sz="1"/>
            </w:tcBorders>
            <w:shd w:fill="2c5282" w:val="clear"/>
          </w:tcPr>
          <w:p>
            <w:r>
              <w:rPr>
                <w:b/>
                <w:bCs/>
                <w:color w:val="FFFFFF"/>
              </w:rPr>
              <w:t xml:space="preserve">Todoist</w:t>
            </w:r>
          </w:p>
        </w:tc>
        <w:tc>
          <w:tcPr>
            <w:tcW w:type="dxa" w:w="2460"/>
            <w:tcBorders>
              <w:top w:val="single" w:color="CCCCCC" w:sz="1"/>
              <w:left w:val="single" w:color="CCCCCC" w:sz="1"/>
              <w:bottom w:val="single" w:color="CCCCCC" w:sz="1"/>
              <w:right w:val="single" w:color="CCCCCC" w:sz="1"/>
            </w:tcBorders>
            <w:shd w:fill="2c5282" w:val="clear"/>
          </w:tcPr>
          <w:p>
            <w:r>
              <w:rPr>
                <w:b/>
                <w:bCs/>
                <w:color w:val="FFFFFF"/>
              </w:rPr>
              <w:t xml:space="preserve">Microsoft To Do</w:t>
            </w:r>
          </w:p>
        </w:tc>
      </w:tr>
      <w:tr>
        <w:tc>
          <w:tcPr>
            <w:tcW w:type="dxa" w:w="2500"/>
            <w:tcBorders>
              <w:top w:val="single" w:color="CCCCCC" w:sz="1"/>
              <w:left w:val="single" w:color="CCCCCC" w:sz="1"/>
              <w:bottom w:val="single" w:color="CCCCCC" w:sz="1"/>
              <w:right w:val="single" w:color="CCCCCC" w:sz="1"/>
            </w:tcBorders>
          </w:tcPr>
          <w:p>
            <w:r>
              <w:t xml:space="preserve">AI Task Breakdown</w:t>
            </w:r>
          </w:p>
        </w:tc>
        <w:tc>
          <w:tcPr>
            <w:tcW w:type="dxa" w:w="2200"/>
            <w:tcBorders>
              <w:top w:val="single" w:color="CCCCCC" w:sz="1"/>
              <w:left w:val="single" w:color="CCCCCC" w:sz="1"/>
              <w:bottom w:val="single" w:color="CCCCCC" w:sz="1"/>
              <w:right w:val="single" w:color="CCCCCC" w:sz="1"/>
            </w:tcBorders>
            <w:shd w:fill="c6f6d5" w:val="clear"/>
          </w:tcPr>
          <w:p>
            <w:r>
              <w:t xml:space="preserve">Yes (Core)</w:t>
            </w:r>
          </w:p>
        </w:tc>
        <w:tc>
          <w:tcPr>
            <w:tcW w:type="dxa" w:w="2200"/>
            <w:tcBorders>
              <w:top w:val="single" w:color="CCCCCC" w:sz="1"/>
              <w:left w:val="single" w:color="CCCCCC" w:sz="1"/>
              <w:bottom w:val="single" w:color="CCCCCC" w:sz="1"/>
              <w:right w:val="single" w:color="CCCCCC" w:sz="1"/>
            </w:tcBorders>
          </w:tcPr>
          <w:p>
            <w:r>
              <w:t xml:space="preserve">Limited</w:t>
            </w:r>
          </w:p>
        </w:tc>
        <w:tc>
          <w:tcPr>
            <w:tcW w:type="dxa" w:w="2460"/>
            <w:tcBorders>
              <w:top w:val="single" w:color="CCCCCC" w:sz="1"/>
              <w:left w:val="single" w:color="CCCCCC" w:sz="1"/>
              <w:bottom w:val="single" w:color="CCCCCC" w:sz="1"/>
              <w:right w:val="single" w:color="CCCCCC" w:sz="1"/>
            </w:tcBorders>
          </w:tcPr>
          <w:p>
            <w:r>
              <w:t xml:space="preserve">No</w:t>
            </w:r>
          </w:p>
        </w:tc>
      </w:tr>
      <w:tr>
        <w:tc>
          <w:tcPr>
            <w:tcW w:type="dxa" w:w="2500"/>
            <w:tcBorders>
              <w:top w:val="single" w:color="CCCCCC" w:sz="1"/>
              <w:left w:val="single" w:color="CCCCCC" w:sz="1"/>
              <w:bottom w:val="single" w:color="CCCCCC" w:sz="1"/>
              <w:right w:val="single" w:color="CCCCCC" w:sz="1"/>
            </w:tcBorders>
          </w:tcPr>
          <w:p>
            <w:r>
              <w:t xml:space="preserve">No Account Required</w:t>
            </w:r>
          </w:p>
        </w:tc>
        <w:tc>
          <w:tcPr>
            <w:tcW w:type="dxa" w:w="2200"/>
            <w:tcBorders>
              <w:top w:val="single" w:color="CCCCCC" w:sz="1"/>
              <w:left w:val="single" w:color="CCCCCC" w:sz="1"/>
              <w:bottom w:val="single" w:color="CCCCCC" w:sz="1"/>
              <w:right w:val="single" w:color="CCCCCC" w:sz="1"/>
            </w:tcBorders>
            <w:shd w:fill="c6f6d5" w:val="clear"/>
          </w:tcPr>
          <w:p>
            <w:r>
              <w:t xml:space="preserve">Yes</w:t>
            </w:r>
          </w:p>
        </w:tc>
        <w:tc>
          <w:tcPr>
            <w:tcW w:type="dxa" w:w="2200"/>
            <w:tcBorders>
              <w:top w:val="single" w:color="CCCCCC" w:sz="1"/>
              <w:left w:val="single" w:color="CCCCCC" w:sz="1"/>
              <w:bottom w:val="single" w:color="CCCCCC" w:sz="1"/>
              <w:right w:val="single" w:color="CCCCCC" w:sz="1"/>
            </w:tcBorders>
          </w:tcPr>
          <w:p>
            <w:r>
              <w:t xml:space="preserve">No</w:t>
            </w:r>
          </w:p>
        </w:tc>
        <w:tc>
          <w:tcPr>
            <w:tcW w:type="dxa" w:w="2460"/>
            <w:tcBorders>
              <w:top w:val="single" w:color="CCCCCC" w:sz="1"/>
              <w:left w:val="single" w:color="CCCCCC" w:sz="1"/>
              <w:bottom w:val="single" w:color="CCCCCC" w:sz="1"/>
              <w:right w:val="single" w:color="CCCCCC" w:sz="1"/>
            </w:tcBorders>
          </w:tcPr>
          <w:p>
            <w:r>
              <w:t xml:space="preserve">No</w:t>
            </w:r>
          </w:p>
        </w:tc>
      </w:tr>
      <w:tr>
        <w:tc>
          <w:tcPr>
            <w:tcW w:type="dxa" w:w="2500"/>
            <w:tcBorders>
              <w:top w:val="single" w:color="CCCCCC" w:sz="1"/>
              <w:left w:val="single" w:color="CCCCCC" w:sz="1"/>
              <w:bottom w:val="single" w:color="CCCCCC" w:sz="1"/>
              <w:right w:val="single" w:color="CCCCCC" w:sz="1"/>
            </w:tcBorders>
          </w:tcPr>
          <w:p>
            <w:r>
              <w:t xml:space="preserve">Visual Progress</w:t>
            </w:r>
          </w:p>
        </w:tc>
        <w:tc>
          <w:tcPr>
            <w:tcW w:type="dxa" w:w="2200"/>
            <w:tcBorders>
              <w:top w:val="single" w:color="CCCCCC" w:sz="1"/>
              <w:left w:val="single" w:color="CCCCCC" w:sz="1"/>
              <w:bottom w:val="single" w:color="CCCCCC" w:sz="1"/>
              <w:right w:val="single" w:color="CCCCCC" w:sz="1"/>
            </w:tcBorders>
            <w:shd w:fill="c6f6d5" w:val="clear"/>
          </w:tcPr>
          <w:p>
            <w:r>
              <w:t xml:space="preserve">Advanced</w:t>
            </w:r>
          </w:p>
        </w:tc>
        <w:tc>
          <w:tcPr>
            <w:tcW w:type="dxa" w:w="2200"/>
            <w:tcBorders>
              <w:top w:val="single" w:color="CCCCCC" w:sz="1"/>
              <w:left w:val="single" w:color="CCCCCC" w:sz="1"/>
              <w:bottom w:val="single" w:color="CCCCCC" w:sz="1"/>
              <w:right w:val="single" w:color="CCCCCC" w:sz="1"/>
            </w:tcBorders>
          </w:tcPr>
          <w:p>
            <w:r>
              <w:t xml:space="preserve">Basic</w:t>
            </w:r>
          </w:p>
        </w:tc>
        <w:tc>
          <w:tcPr>
            <w:tcW w:type="dxa" w:w="2460"/>
            <w:tcBorders>
              <w:top w:val="single" w:color="CCCCCC" w:sz="1"/>
              <w:left w:val="single" w:color="CCCCCC" w:sz="1"/>
              <w:bottom w:val="single" w:color="CCCCCC" w:sz="1"/>
              <w:right w:val="single" w:color="CCCCCC" w:sz="1"/>
            </w:tcBorders>
          </w:tcPr>
          <w:p>
            <w:r>
              <w:t xml:space="preserve">Basic</w:t>
            </w:r>
          </w:p>
        </w:tc>
      </w:tr>
      <w:tr>
        <w:tc>
          <w:tcPr>
            <w:tcW w:type="dxa" w:w="2500"/>
            <w:tcBorders>
              <w:top w:val="single" w:color="CCCCCC" w:sz="1"/>
              <w:left w:val="single" w:color="CCCCCC" w:sz="1"/>
              <w:bottom w:val="single" w:color="CCCCCC" w:sz="1"/>
              <w:right w:val="single" w:color="CCCCCC" w:sz="1"/>
            </w:tcBorders>
          </w:tcPr>
          <w:p>
            <w:r>
              <w:t xml:space="preserve">Simple Device Sync</w:t>
            </w:r>
          </w:p>
        </w:tc>
        <w:tc>
          <w:tcPr>
            <w:tcW w:type="dxa" w:w="2200"/>
            <w:tcBorders>
              <w:top w:val="single" w:color="CCCCCC" w:sz="1"/>
              <w:left w:val="single" w:color="CCCCCC" w:sz="1"/>
              <w:bottom w:val="single" w:color="CCCCCC" w:sz="1"/>
              <w:right w:val="single" w:color="CCCCCC" w:sz="1"/>
            </w:tcBorders>
            <w:shd w:fill="c6f6d5" w:val="clear"/>
          </w:tcPr>
          <w:p>
            <w:r>
              <w:t xml:space="preserve">Sync Code</w:t>
            </w:r>
          </w:p>
        </w:tc>
        <w:tc>
          <w:tcPr>
            <w:tcW w:type="dxa" w:w="2200"/>
            <w:tcBorders>
              <w:top w:val="single" w:color="CCCCCC" w:sz="1"/>
              <w:left w:val="single" w:color="CCCCCC" w:sz="1"/>
              <w:bottom w:val="single" w:color="CCCCCC" w:sz="1"/>
              <w:right w:val="single" w:color="CCCCCC" w:sz="1"/>
            </w:tcBorders>
          </w:tcPr>
          <w:p>
            <w:r>
              <w:t xml:space="preserve">Account Based</w:t>
            </w:r>
          </w:p>
        </w:tc>
        <w:tc>
          <w:tcPr>
            <w:tcW w:type="dxa" w:w="2460"/>
            <w:tcBorders>
              <w:top w:val="single" w:color="CCCCCC" w:sz="1"/>
              <w:left w:val="single" w:color="CCCCCC" w:sz="1"/>
              <w:bottom w:val="single" w:color="CCCCCC" w:sz="1"/>
              <w:right w:val="single" w:color="CCCCCC" w:sz="1"/>
            </w:tcBorders>
          </w:tcPr>
          <w:p>
            <w:r>
              <w:t xml:space="preserve">Microsoft Account</w:t>
            </w:r>
          </w:p>
        </w:tc>
      </w:tr>
    </w:tbl>
    <w:p>
      <w:r>
        <w:br w:type="page"/>
      </w:r>
    </w:p>
    <w:p>
      <w:pPr>
        <w:pStyle w:val="Heading1"/>
      </w:pPr>
      <w:r>
        <w:t xml:space="preserve">5. Microsoft Azure Integration</w:t>
      </w:r>
    </w:p>
    <w:p>
      <w:pPr>
        <w:spacing w:after="80"/>
      </w:pPr>
      <w:r>
        <w:t xml:space="preserve">TaskFlow AI leverages multiple Microsoft Azure services to meet Imagine Cup requirements:</w:t>
      </w:r>
    </w:p>
    <w:p>
      <w:pPr>
        <w:pStyle w:val="Heading2"/>
      </w:pPr>
      <w:r>
        <w:t xml:space="preserve">5.1 Azure OpenAI Service</w:t>
      </w:r>
    </w:p>
    <w:p>
      <w:pPr>
        <w:pStyle w:val="ListParagraph"/>
        <w:numPr>
          <w:ilvl w:val="0"/>
          <w:numId w:val="3"/>
        </w:numPr>
      </w:pPr>
      <w:r>
        <w:rPr>
          <w:b/>
          <w:bCs/>
        </w:rPr>
        <w:t xml:space="preserve">Purpose: </w:t>
      </w:r>
      <w:r>
        <w:t xml:space="preserve">Intelligent task decomposition using GPT-4o model</w:t>
      </w:r>
    </w:p>
    <w:p>
      <w:pPr>
        <w:pStyle w:val="ListParagraph"/>
        <w:numPr>
          <w:ilvl w:val="0"/>
          <w:numId w:val="3"/>
        </w:numPr>
      </w:pPr>
      <w:r>
        <w:rPr>
          <w:b/>
          <w:bCs/>
        </w:rPr>
        <w:t xml:space="preserve">Functionality: </w:t>
      </w:r>
      <w:r>
        <w:t xml:space="preserve">Analyzes task descriptions and generates logical subtasks</w:t>
      </w:r>
    </w:p>
    <w:p>
      <w:pPr>
        <w:pStyle w:val="ListParagraph"/>
        <w:numPr>
          <w:ilvl w:val="0"/>
          <w:numId w:val="3"/>
        </w:numPr>
      </w:pPr>
      <w:r>
        <w:rPr>
          <w:b/>
          <w:bCs/>
        </w:rPr>
        <w:t xml:space="preserve">Value: </w:t>
      </w:r>
      <w:r>
        <w:t xml:space="preserve">Reduces cognitive load and improves task planning efficiency</w:t>
      </w:r>
    </w:p>
    <w:p>
      <w:pPr>
        <w:pStyle w:val="Heading2"/>
      </w:pPr>
      <w:r>
        <w:t xml:space="preserve">5.2 Azure AI Language</w:t>
      </w:r>
    </w:p>
    <w:p>
      <w:pPr>
        <w:pStyle w:val="ListParagraph"/>
        <w:numPr>
          <w:ilvl w:val="0"/>
          <w:numId w:val="3"/>
        </w:numPr>
      </w:pPr>
      <w:r>
        <w:rPr>
          <w:b/>
          <w:bCs/>
        </w:rPr>
        <w:t xml:space="preserve">Purpose: </w:t>
      </w:r>
      <w:r>
        <w:t xml:space="preserve">Text analytics for task categorization and sentiment analysis</w:t>
      </w:r>
    </w:p>
    <w:p>
      <w:pPr>
        <w:pStyle w:val="ListParagraph"/>
        <w:numPr>
          <w:ilvl w:val="0"/>
          <w:numId w:val="3"/>
        </w:numPr>
      </w:pPr>
      <w:r>
        <w:rPr>
          <w:b/>
          <w:bCs/>
        </w:rPr>
        <w:t xml:space="preserve">Functionality: </w:t>
      </w:r>
      <w:r>
        <w:t xml:space="preserve">Automatic task tagging and priority suggestion</w:t>
      </w:r>
    </w:p>
    <w:p>
      <w:pPr>
        <w:pStyle w:val="ListParagraph"/>
        <w:numPr>
          <w:ilvl w:val="0"/>
          <w:numId w:val="3"/>
        </w:numPr>
      </w:pPr>
      <w:r>
        <w:rPr>
          <w:b/>
          <w:bCs/>
        </w:rPr>
        <w:t xml:space="preserve">Value: </w:t>
      </w:r>
      <w:r>
        <w:t xml:space="preserve">Enhanced organization without manual categorization</w:t>
      </w:r>
    </w:p>
    <w:p>
      <w:pPr>
        <w:pStyle w:val="Heading2"/>
      </w:pPr>
      <w:r>
        <w:t xml:space="preserve">5.3 Azure Notification Hubs</w:t>
      </w:r>
    </w:p>
    <w:p>
      <w:pPr>
        <w:pStyle w:val="ListParagraph"/>
        <w:numPr>
          <w:ilvl w:val="0"/>
          <w:numId w:val="3"/>
        </w:numPr>
      </w:pPr>
      <w:r>
        <w:rPr>
          <w:b/>
          <w:bCs/>
        </w:rPr>
        <w:t xml:space="preserve">Purpose: </w:t>
      </w:r>
      <w:r>
        <w:t xml:space="preserve">Cross-platform push notification delivery</w:t>
      </w:r>
    </w:p>
    <w:p>
      <w:pPr>
        <w:pStyle w:val="ListParagraph"/>
        <w:numPr>
          <w:ilvl w:val="0"/>
          <w:numId w:val="3"/>
        </w:numPr>
      </w:pPr>
      <w:r>
        <w:rPr>
          <w:b/>
          <w:bCs/>
        </w:rPr>
        <w:t xml:space="preserve">Functionality: </w:t>
      </w:r>
      <w:r>
        <w:t xml:space="preserve">Task reminders and deadline alerts</w:t>
      </w:r>
    </w:p>
    <w:p>
      <w:pPr>
        <w:pStyle w:val="ListParagraph"/>
        <w:numPr>
          <w:ilvl w:val="0"/>
          <w:numId w:val="3"/>
        </w:numPr>
      </w:pPr>
      <w:r>
        <w:rPr>
          <w:b/>
          <w:bCs/>
        </w:rPr>
        <w:t xml:space="preserve">Value: </w:t>
      </w:r>
      <w:r>
        <w:t xml:space="preserve">Keeps users engaged and on track</w:t>
      </w:r>
    </w:p>
    <w:p>
      <w:pPr>
        <w:pStyle w:val="Heading2"/>
      </w:pPr>
      <w:r>
        <w:t xml:space="preserve">5.4 Additional Azure Services</w:t>
      </w:r>
    </w:p>
    <w:p>
      <w:pPr>
        <w:pStyle w:val="ListParagraph"/>
        <w:numPr>
          <w:ilvl w:val="0"/>
          <w:numId w:val="3"/>
        </w:numPr>
      </w:pPr>
      <w:r>
        <w:rPr>
          <w:b/>
          <w:bCs/>
        </w:rPr>
        <w:t xml:space="preserve">Azure App Service: </w:t>
      </w:r>
      <w:r>
        <w:t xml:space="preserve">Scalable web application hosting</w:t>
      </w:r>
    </w:p>
    <w:p>
      <w:pPr>
        <w:pStyle w:val="ListParagraph"/>
        <w:numPr>
          <w:ilvl w:val="0"/>
          <w:numId w:val="3"/>
        </w:numPr>
      </w:pPr>
      <w:r>
        <w:rPr>
          <w:b/>
          <w:bCs/>
        </w:rPr>
        <w:t xml:space="preserve">Azure Cosmos DB: </w:t>
      </w:r>
      <w:r>
        <w:t xml:space="preserve">Globally distributed NoSQL database</w:t>
      </w:r>
    </w:p>
    <w:p>
      <w:pPr>
        <w:pStyle w:val="ListParagraph"/>
        <w:numPr>
          <w:ilvl w:val="0"/>
          <w:numId w:val="3"/>
        </w:numPr>
      </w:pPr>
      <w:r>
        <w:rPr>
          <w:b/>
          <w:bCs/>
        </w:rPr>
        <w:t xml:space="preserve">Azure CDN: </w:t>
      </w:r>
      <w:r>
        <w:t xml:space="preserve">Fast content delivery for static assets</w:t>
      </w:r>
    </w:p>
    <w:p>
      <w:pPr>
        <w:pStyle w:val="Heading1"/>
      </w:pPr>
      <w:r>
        <w:t xml:space="preserve">6. Project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c5282" w:val="clear"/>
          </w:tcPr>
          <w:p>
            <w:r>
              <w:rPr>
                <w:b/>
                <w:bCs/>
                <w:color w:val="FFFFFF"/>
              </w:rPr>
              <w:t xml:space="preserve">Date</w:t>
            </w:r>
          </w:p>
        </w:tc>
        <w:tc>
          <w:tcPr>
            <w:tcW w:type="dxa" w:w="3000"/>
            <w:tcBorders>
              <w:top w:val="single" w:color="CCCCCC" w:sz="1"/>
              <w:left w:val="single" w:color="CCCCCC" w:sz="1"/>
              <w:bottom w:val="single" w:color="CCCCCC" w:sz="1"/>
              <w:right w:val="single" w:color="CCCCCC" w:sz="1"/>
            </w:tcBorders>
            <w:shd w:fill="2c5282" w:val="clear"/>
          </w:tcPr>
          <w:p>
            <w:r>
              <w:rPr>
                <w:b/>
                <w:bCs/>
                <w:color w:val="FFFFFF"/>
              </w:rPr>
              <w:t xml:space="preserve">Milestone</w:t>
            </w:r>
          </w:p>
        </w:tc>
        <w:tc>
          <w:tcPr>
            <w:tcW w:type="dxa" w:w="4360"/>
            <w:tcBorders>
              <w:top w:val="single" w:color="CCCCCC" w:sz="1"/>
              <w:left w:val="single" w:color="CCCCCC" w:sz="1"/>
              <w:bottom w:val="single" w:color="CCCCCC" w:sz="1"/>
              <w:right w:val="single" w:color="CCCCCC" w:sz="1"/>
            </w:tcBorders>
            <w:shd w:fill="2c5282" w:val="clear"/>
          </w:tcPr>
          <w:p>
            <w:r>
              <w:rPr>
                <w:b/>
                <w:bCs/>
                <w:color w:val="FFFFFF"/>
              </w:rPr>
              <w:t xml:space="preserve">Business Impact</w:t>
            </w:r>
          </w:p>
        </w:tc>
      </w:tr>
      <w:tr>
        <w:tc>
          <w:tcPr>
            <w:tcW w:type="dxa" w:w="2000"/>
            <w:tcBorders>
              <w:top w:val="single" w:color="CCCCCC" w:sz="1"/>
              <w:left w:val="single" w:color="CCCCCC" w:sz="1"/>
              <w:bottom w:val="single" w:color="CCCCCC" w:sz="1"/>
              <w:right w:val="single" w:color="CCCCCC" w:sz="1"/>
            </w:tcBorders>
          </w:tcPr>
          <w:p>
            <w:r>
              <w:t xml:space="preserve">Dec 24</w:t>
            </w:r>
          </w:p>
        </w:tc>
        <w:tc>
          <w:tcPr>
            <w:tcW w:type="dxa" w:w="3000"/>
            <w:tcBorders>
              <w:top w:val="single" w:color="CCCCCC" w:sz="1"/>
              <w:left w:val="single" w:color="CCCCCC" w:sz="1"/>
              <w:bottom w:val="single" w:color="CCCCCC" w:sz="1"/>
              <w:right w:val="single" w:color="CCCCCC" w:sz="1"/>
            </w:tcBorders>
          </w:tcPr>
          <w:p>
            <w:r>
              <w:t xml:space="preserve">Development Start</w:t>
            </w:r>
          </w:p>
        </w:tc>
        <w:tc>
          <w:tcPr>
            <w:tcW w:type="dxa" w:w="4360"/>
            <w:tcBorders>
              <w:top w:val="single" w:color="CCCCCC" w:sz="1"/>
              <w:left w:val="single" w:color="CCCCCC" w:sz="1"/>
              <w:bottom w:val="single" w:color="CCCCCC" w:sz="1"/>
              <w:right w:val="single" w:color="CCCCCC" w:sz="1"/>
            </w:tcBorders>
          </w:tcPr>
          <w:p>
            <w:r>
              <w:t xml:space="preserve">Project kickoff, resource allocation</w:t>
            </w:r>
          </w:p>
        </w:tc>
      </w:tr>
      <w:tr>
        <w:tc>
          <w:tcPr>
            <w:tcW w:type="dxa" w:w="2000"/>
            <w:tcBorders>
              <w:top w:val="single" w:color="CCCCCC" w:sz="1"/>
              <w:left w:val="single" w:color="CCCCCC" w:sz="1"/>
              <w:bottom w:val="single" w:color="CCCCCC" w:sz="1"/>
              <w:right w:val="single" w:color="CCCCCC" w:sz="1"/>
            </w:tcBorders>
            <w:shd w:fill="c6f6d5" w:val="clear"/>
          </w:tcPr>
          <w:p>
            <w:r>
              <w:rPr>
                <w:b/>
                <w:bCs/>
              </w:rPr>
              <w:t xml:space="preserve">Jan 1</w:t>
            </w:r>
          </w:p>
        </w:tc>
        <w:tc>
          <w:tcPr>
            <w:tcW w:type="dxa" w:w="3000"/>
            <w:tcBorders>
              <w:top w:val="single" w:color="CCCCCC" w:sz="1"/>
              <w:left w:val="single" w:color="CCCCCC" w:sz="1"/>
              <w:bottom w:val="single" w:color="CCCCCC" w:sz="1"/>
              <w:right w:val="single" w:color="CCCCCC" w:sz="1"/>
            </w:tcBorders>
            <w:shd w:fill="c6f6d5" w:val="clear"/>
          </w:tcPr>
          <w:p>
            <w:r>
              <w:rPr>
                <w:b/>
                <w:bCs/>
              </w:rPr>
              <w:t xml:space="preserve">Production Deploy</w:t>
            </w:r>
          </w:p>
        </w:tc>
        <w:tc>
          <w:tcPr>
            <w:tcW w:type="dxa" w:w="4360"/>
            <w:tcBorders>
              <w:top w:val="single" w:color="CCCCCC" w:sz="1"/>
              <w:left w:val="single" w:color="CCCCCC" w:sz="1"/>
              <w:bottom w:val="single" w:color="CCCCCC" w:sz="1"/>
              <w:right w:val="single" w:color="CCCCCC" w:sz="1"/>
            </w:tcBorders>
            <w:shd w:fill="c6f6d5" w:val="clear"/>
          </w:tcPr>
          <w:p>
            <w:r>
              <w:t xml:space="preserve">Public access, initial user acquisition</w:t>
            </w:r>
          </w:p>
        </w:tc>
      </w:tr>
      <w:tr>
        <w:tc>
          <w:tcPr>
            <w:tcW w:type="dxa" w:w="2000"/>
            <w:tcBorders>
              <w:top w:val="single" w:color="CCCCCC" w:sz="1"/>
              <w:left w:val="single" w:color="CCCCCC" w:sz="1"/>
              <w:bottom w:val="single" w:color="CCCCCC" w:sz="1"/>
              <w:right w:val="single" w:color="CCCCCC" w:sz="1"/>
            </w:tcBorders>
          </w:tcPr>
          <w:p>
            <w:r>
              <w:t xml:space="preserve">Jan 2</w:t>
            </w:r>
          </w:p>
        </w:tc>
        <w:tc>
          <w:tcPr>
            <w:tcW w:type="dxa" w:w="3000"/>
            <w:tcBorders>
              <w:top w:val="single" w:color="CCCCCC" w:sz="1"/>
              <w:left w:val="single" w:color="CCCCCC" w:sz="1"/>
              <w:bottom w:val="single" w:color="CCCCCC" w:sz="1"/>
              <w:right w:val="single" w:color="CCCCCC" w:sz="1"/>
            </w:tcBorders>
          </w:tcPr>
          <w:p>
            <w:r>
              <w:t xml:space="preserve">A/B Testing</w:t>
            </w:r>
          </w:p>
        </w:tc>
        <w:tc>
          <w:tcPr>
            <w:tcW w:type="dxa" w:w="4360"/>
            <w:tcBorders>
              <w:top w:val="single" w:color="CCCCCC" w:sz="1"/>
              <w:left w:val="single" w:color="CCCCCC" w:sz="1"/>
              <w:bottom w:val="single" w:color="CCCCCC" w:sz="1"/>
              <w:right w:val="single" w:color="CCCCCC" w:sz="1"/>
            </w:tcBorders>
          </w:tcPr>
          <w:p>
            <w:r>
              <w:t xml:space="preserve">User validation, feedback collection</w:t>
            </w:r>
          </w:p>
        </w:tc>
      </w:tr>
      <w:tr>
        <w:tc>
          <w:tcPr>
            <w:tcW w:type="dxa" w:w="2000"/>
            <w:tcBorders>
              <w:top w:val="single" w:color="CCCCCC" w:sz="1"/>
              <w:left w:val="single" w:color="CCCCCC" w:sz="1"/>
              <w:bottom w:val="single" w:color="CCCCCC" w:sz="1"/>
              <w:right w:val="single" w:color="CCCCCC" w:sz="1"/>
            </w:tcBorders>
          </w:tcPr>
          <w:p>
            <w:r>
              <w:t xml:space="preserve">Jan 3</w:t>
            </w:r>
          </w:p>
        </w:tc>
        <w:tc>
          <w:tcPr>
            <w:tcW w:type="dxa" w:w="3000"/>
            <w:tcBorders>
              <w:top w:val="single" w:color="CCCCCC" w:sz="1"/>
              <w:left w:val="single" w:color="CCCCCC" w:sz="1"/>
              <w:bottom w:val="single" w:color="CCCCCC" w:sz="1"/>
              <w:right w:val="single" w:color="CCCCCC" w:sz="1"/>
            </w:tcBorders>
          </w:tcPr>
          <w:p>
            <w:r>
              <w:t xml:space="preserve">Final Polish</w:t>
            </w:r>
          </w:p>
        </w:tc>
        <w:tc>
          <w:tcPr>
            <w:tcW w:type="dxa" w:w="4360"/>
            <w:tcBorders>
              <w:top w:val="single" w:color="CCCCCC" w:sz="1"/>
              <w:left w:val="single" w:color="CCCCCC" w:sz="1"/>
              <w:bottom w:val="single" w:color="CCCCCC" w:sz="1"/>
              <w:right w:val="single" w:color="CCCCCC" w:sz="1"/>
            </w:tcBorders>
          </w:tcPr>
          <w:p>
            <w:r>
              <w:t xml:space="preserve">Quality assurance, pitch preparation</w:t>
            </w:r>
          </w:p>
        </w:tc>
      </w:tr>
      <w:tr>
        <w:tc>
          <w:tcPr>
            <w:tcW w:type="dxa" w:w="2000"/>
            <w:tcBorders>
              <w:top w:val="single" w:color="CCCCCC" w:sz="1"/>
              <w:left w:val="single" w:color="CCCCCC" w:sz="1"/>
              <w:bottom w:val="single" w:color="CCCCCC" w:sz="1"/>
              <w:right w:val="single" w:color="CCCCCC" w:sz="1"/>
            </w:tcBorders>
            <w:shd w:fill="fed7d7" w:val="clear"/>
          </w:tcPr>
          <w:p>
            <w:r>
              <w:rPr>
                <w:b/>
                <w:bCs/>
              </w:rPr>
              <w:t xml:space="preserve">Jan 9</w:t>
            </w:r>
          </w:p>
        </w:tc>
        <w:tc>
          <w:tcPr>
            <w:tcW w:type="dxa" w:w="3000"/>
            <w:tcBorders>
              <w:top w:val="single" w:color="CCCCCC" w:sz="1"/>
              <w:left w:val="single" w:color="CCCCCC" w:sz="1"/>
              <w:bottom w:val="single" w:color="CCCCCC" w:sz="1"/>
              <w:right w:val="single" w:color="CCCCCC" w:sz="1"/>
            </w:tcBorders>
            <w:shd w:fill="fed7d7" w:val="clear"/>
          </w:tcPr>
          <w:p>
            <w:r>
              <w:rPr>
                <w:b/>
                <w:bCs/>
              </w:rPr>
              <w:t xml:space="preserve">Imagine Cup Submit</w:t>
            </w:r>
          </w:p>
        </w:tc>
        <w:tc>
          <w:tcPr>
            <w:tcW w:type="dxa" w:w="4360"/>
            <w:tcBorders>
              <w:top w:val="single" w:color="CCCCCC" w:sz="1"/>
              <w:left w:val="single" w:color="CCCCCC" w:sz="1"/>
              <w:bottom w:val="single" w:color="CCCCCC" w:sz="1"/>
              <w:right w:val="single" w:color="CCCCCC" w:sz="1"/>
            </w:tcBorders>
            <w:shd w:fill="fed7d7" w:val="clear"/>
          </w:tcPr>
          <w:p>
            <w:r>
              <w:t xml:space="preserve">Competition entry deadline</w:t>
            </w:r>
          </w:p>
        </w:tc>
      </w:tr>
    </w:tbl>
    <w:p>
      <w:pPr>
        <w:pStyle w:val="Heading1"/>
      </w:pPr>
      <w:r>
        <w:t xml:space="preserve">7. Resource Requirements</w:t>
      </w:r>
    </w:p>
    <w:p>
      <w:pPr>
        <w:pStyle w:val="Heading2"/>
      </w:pPr>
      <w:r>
        <w:t xml:space="preserve">7.1 Azure Resources (Estimated Monthly)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2c5282" w:val="clear"/>
          </w:tcPr>
          <w:p>
            <w:r>
              <w:rPr>
                <w:b/>
                <w:bCs/>
                <w:color w:val="FFFFFF"/>
              </w:rPr>
              <w:t xml:space="preserve">Service</w:t>
            </w:r>
          </w:p>
        </w:tc>
        <w:tc>
          <w:tcPr>
            <w:tcW w:type="dxa" w:w="2500"/>
            <w:tcBorders>
              <w:top w:val="single" w:color="CCCCCC" w:sz="1"/>
              <w:left w:val="single" w:color="CCCCCC" w:sz="1"/>
              <w:bottom w:val="single" w:color="CCCCCC" w:sz="1"/>
              <w:right w:val="single" w:color="CCCCCC" w:sz="1"/>
            </w:tcBorders>
            <w:shd w:fill="2c5282" w:val="clear"/>
          </w:tcPr>
          <w:p>
            <w:r>
              <w:rPr>
                <w:b/>
                <w:bCs/>
                <w:color w:val="FFFFFF"/>
              </w:rPr>
              <w:t xml:space="preserve">Tier</w:t>
            </w:r>
          </w:p>
        </w:tc>
        <w:tc>
          <w:tcPr>
            <w:tcW w:type="dxa" w:w="2860"/>
            <w:tcBorders>
              <w:top w:val="single" w:color="CCCCCC" w:sz="1"/>
              <w:left w:val="single" w:color="CCCCCC" w:sz="1"/>
              <w:bottom w:val="single" w:color="CCCCCC" w:sz="1"/>
              <w:right w:val="single" w:color="CCCCCC" w:sz="1"/>
            </w:tcBorders>
            <w:shd w:fill="2c5282" w:val="clear"/>
          </w:tcPr>
          <w:p>
            <w:r>
              <w:rPr>
                <w:b/>
                <w:bCs/>
                <w:color w:val="FFFFFF"/>
              </w:rPr>
              <w:t xml:space="preserve">Est. Cost</w:t>
            </w:r>
          </w:p>
        </w:tc>
      </w:tr>
      <w:tr>
        <w:tc>
          <w:tcPr>
            <w:tcW w:type="dxa" w:w="4000"/>
            <w:tcBorders>
              <w:top w:val="single" w:color="CCCCCC" w:sz="1"/>
              <w:left w:val="single" w:color="CCCCCC" w:sz="1"/>
              <w:bottom w:val="single" w:color="CCCCCC" w:sz="1"/>
              <w:right w:val="single" w:color="CCCCCC" w:sz="1"/>
            </w:tcBorders>
          </w:tcPr>
          <w:p>
            <w:r>
              <w:t xml:space="preserve">Azure OpenAI Service</w:t>
            </w:r>
          </w:p>
        </w:tc>
        <w:tc>
          <w:tcPr>
            <w:tcW w:type="dxa" w:w="2500"/>
            <w:tcBorders>
              <w:top w:val="single" w:color="CCCCCC" w:sz="1"/>
              <w:left w:val="single" w:color="CCCCCC" w:sz="1"/>
              <w:bottom w:val="single" w:color="CCCCCC" w:sz="1"/>
              <w:right w:val="single" w:color="CCCCCC" w:sz="1"/>
            </w:tcBorders>
          </w:tcPr>
          <w:p>
            <w:r>
              <w:t xml:space="preserve">Pay-as-you-go</w:t>
            </w:r>
          </w:p>
        </w:tc>
        <w:tc>
          <w:tcPr>
            <w:tcW w:type="dxa" w:w="2860"/>
            <w:tcBorders>
              <w:top w:val="single" w:color="CCCCCC" w:sz="1"/>
              <w:left w:val="single" w:color="CCCCCC" w:sz="1"/>
              <w:bottom w:val="single" w:color="CCCCCC" w:sz="1"/>
              <w:right w:val="single" w:color="CCCCCC" w:sz="1"/>
            </w:tcBorders>
          </w:tcPr>
          <w:p>
            <w:r>
              <w:t xml:space="preserve">$50-100</w:t>
            </w:r>
          </w:p>
        </w:tc>
      </w:tr>
      <w:tr>
        <w:tc>
          <w:tcPr>
            <w:tcW w:type="dxa" w:w="4000"/>
            <w:tcBorders>
              <w:top w:val="single" w:color="CCCCCC" w:sz="1"/>
              <w:left w:val="single" w:color="CCCCCC" w:sz="1"/>
              <w:bottom w:val="single" w:color="CCCCCC" w:sz="1"/>
              <w:right w:val="single" w:color="CCCCCC" w:sz="1"/>
            </w:tcBorders>
          </w:tcPr>
          <w:p>
            <w:r>
              <w:t xml:space="preserve">Azure AI Language</w:t>
            </w:r>
          </w:p>
        </w:tc>
        <w:tc>
          <w:tcPr>
            <w:tcW w:type="dxa" w:w="2500"/>
            <w:tcBorders>
              <w:top w:val="single" w:color="CCCCCC" w:sz="1"/>
              <w:left w:val="single" w:color="CCCCCC" w:sz="1"/>
              <w:bottom w:val="single" w:color="CCCCCC" w:sz="1"/>
              <w:right w:val="single" w:color="CCCCCC" w:sz="1"/>
            </w:tcBorders>
          </w:tcPr>
          <w:p>
            <w:r>
              <w:t xml:space="preserve">Free tier</w:t>
            </w:r>
          </w:p>
        </w:tc>
        <w:tc>
          <w:tcPr>
            <w:tcW w:type="dxa" w:w="2860"/>
            <w:tcBorders>
              <w:top w:val="single" w:color="CCCCCC" w:sz="1"/>
              <w:left w:val="single" w:color="CCCCCC" w:sz="1"/>
              <w:bottom w:val="single" w:color="CCCCCC" w:sz="1"/>
              <w:right w:val="single" w:color="CCCCCC" w:sz="1"/>
            </w:tcBorders>
          </w:tcPr>
          <w:p>
            <w:r>
              <w:t xml:space="preserve">$0</w:t>
            </w:r>
          </w:p>
        </w:tc>
      </w:tr>
      <w:tr>
        <w:tc>
          <w:tcPr>
            <w:tcW w:type="dxa" w:w="4000"/>
            <w:tcBorders>
              <w:top w:val="single" w:color="CCCCCC" w:sz="1"/>
              <w:left w:val="single" w:color="CCCCCC" w:sz="1"/>
              <w:bottom w:val="single" w:color="CCCCCC" w:sz="1"/>
              <w:right w:val="single" w:color="CCCCCC" w:sz="1"/>
            </w:tcBorders>
          </w:tcPr>
          <w:p>
            <w:r>
              <w:t xml:space="preserve">Azure App Service</w:t>
            </w:r>
          </w:p>
        </w:tc>
        <w:tc>
          <w:tcPr>
            <w:tcW w:type="dxa" w:w="2500"/>
            <w:tcBorders>
              <w:top w:val="single" w:color="CCCCCC" w:sz="1"/>
              <w:left w:val="single" w:color="CCCCCC" w:sz="1"/>
              <w:bottom w:val="single" w:color="CCCCCC" w:sz="1"/>
              <w:right w:val="single" w:color="CCCCCC" w:sz="1"/>
            </w:tcBorders>
          </w:tcPr>
          <w:p>
            <w:r>
              <w:t xml:space="preserve">B1 Basic</w:t>
            </w:r>
          </w:p>
        </w:tc>
        <w:tc>
          <w:tcPr>
            <w:tcW w:type="dxa" w:w="2860"/>
            <w:tcBorders>
              <w:top w:val="single" w:color="CCCCCC" w:sz="1"/>
              <w:left w:val="single" w:color="CCCCCC" w:sz="1"/>
              <w:bottom w:val="single" w:color="CCCCCC" w:sz="1"/>
              <w:right w:val="single" w:color="CCCCCC" w:sz="1"/>
            </w:tcBorders>
          </w:tcPr>
          <w:p>
            <w:r>
              <w:t xml:space="preserve">$13</w:t>
            </w:r>
          </w:p>
        </w:tc>
      </w:tr>
      <w:tr>
        <w:tc>
          <w:tcPr>
            <w:tcW w:type="dxa" w:w="4000"/>
            <w:tcBorders>
              <w:top w:val="single" w:color="CCCCCC" w:sz="1"/>
              <w:left w:val="single" w:color="CCCCCC" w:sz="1"/>
              <w:bottom w:val="single" w:color="CCCCCC" w:sz="1"/>
              <w:right w:val="single" w:color="CCCCCC" w:sz="1"/>
            </w:tcBorders>
          </w:tcPr>
          <w:p>
            <w:r>
              <w:t xml:space="preserve">Azure Cosmos DB</w:t>
            </w:r>
          </w:p>
        </w:tc>
        <w:tc>
          <w:tcPr>
            <w:tcW w:type="dxa" w:w="2500"/>
            <w:tcBorders>
              <w:top w:val="single" w:color="CCCCCC" w:sz="1"/>
              <w:left w:val="single" w:color="CCCCCC" w:sz="1"/>
              <w:bottom w:val="single" w:color="CCCCCC" w:sz="1"/>
              <w:right w:val="single" w:color="CCCCCC" w:sz="1"/>
            </w:tcBorders>
          </w:tcPr>
          <w:p>
            <w:r>
              <w:t xml:space="preserve">Serverless</w:t>
            </w:r>
          </w:p>
        </w:tc>
        <w:tc>
          <w:tcPr>
            <w:tcW w:type="dxa" w:w="2860"/>
            <w:tcBorders>
              <w:top w:val="single" w:color="CCCCCC" w:sz="1"/>
              <w:left w:val="single" w:color="CCCCCC" w:sz="1"/>
              <w:bottom w:val="single" w:color="CCCCCC" w:sz="1"/>
              <w:right w:val="single" w:color="CCCCCC" w:sz="1"/>
            </w:tcBorders>
          </w:tcPr>
          <w:p>
            <w:r>
              <w:t xml:space="preserve">$25-50</w:t>
            </w:r>
          </w:p>
        </w:tc>
      </w:tr>
      <w:tr>
        <w:tc>
          <w:tcPr>
            <w:tcW w:type="dxa" w:w="4000"/>
            <w:tcBorders>
              <w:top w:val="single" w:color="CCCCCC" w:sz="1"/>
              <w:left w:val="single" w:color="CCCCCC" w:sz="1"/>
              <w:bottom w:val="single" w:color="CCCCCC" w:sz="1"/>
              <w:right w:val="single" w:color="CCCCCC" w:sz="1"/>
            </w:tcBorders>
          </w:tcPr>
          <w:p>
            <w:r>
              <w:t xml:space="preserve">Azure Notification Hubs</w:t>
            </w:r>
          </w:p>
        </w:tc>
        <w:tc>
          <w:tcPr>
            <w:tcW w:type="dxa" w:w="2500"/>
            <w:tcBorders>
              <w:top w:val="single" w:color="CCCCCC" w:sz="1"/>
              <w:left w:val="single" w:color="CCCCCC" w:sz="1"/>
              <w:bottom w:val="single" w:color="CCCCCC" w:sz="1"/>
              <w:right w:val="single" w:color="CCCCCC" w:sz="1"/>
            </w:tcBorders>
          </w:tcPr>
          <w:p>
            <w:r>
              <w:t xml:space="preserve">Free tier</w:t>
            </w:r>
          </w:p>
        </w:tc>
        <w:tc>
          <w:tcPr>
            <w:tcW w:type="dxa" w:w="2860"/>
            <w:tcBorders>
              <w:top w:val="single" w:color="CCCCCC" w:sz="1"/>
              <w:left w:val="single" w:color="CCCCCC" w:sz="1"/>
              <w:bottom w:val="single" w:color="CCCCCC" w:sz="1"/>
              <w:right w:val="single" w:color="CCCCCC" w:sz="1"/>
            </w:tcBorders>
          </w:tcPr>
          <w:p>
            <w:r>
              <w:t xml:space="preserve">$0</w:t>
            </w:r>
          </w:p>
        </w:tc>
      </w:tr>
      <w:tr>
        <w:tc>
          <w:tcPr>
            <w:tcW w:type="dxa" w:w="4000"/>
            <w:tcBorders>
              <w:top w:val="single" w:color="CCCCCC" w:sz="1"/>
              <w:left w:val="single" w:color="CCCCCC" w:sz="1"/>
              <w:bottom w:val="single" w:color="CCCCCC" w:sz="1"/>
              <w:right w:val="single" w:color="CCCCCC" w:sz="1"/>
            </w:tcBorders>
            <w:shd w:fill="e2e8f0" w:val="clear"/>
          </w:tcPr>
          <w:p>
            <w:r>
              <w:rPr>
                <w:b/>
                <w:bCs/>
              </w:rPr>
              <w:t xml:space="preserve">Total Estimated</w:t>
            </w:r>
          </w:p>
        </w:tc>
        <w:tc>
          <w:tcPr>
            <w:tcW w:type="dxa" w:w="2500"/>
            <w:tcBorders>
              <w:top w:val="single" w:color="CCCCCC" w:sz="1"/>
              <w:left w:val="single" w:color="CCCCCC" w:sz="1"/>
              <w:bottom w:val="single" w:color="CCCCCC" w:sz="1"/>
              <w:right w:val="single" w:color="CCCCCC" w:sz="1"/>
            </w:tcBorders>
            <w:shd w:fill="e2e8f0" w:val="clear"/>
          </w:tcPr>
          <w:p>
            <w:r>
              <w:t xml:space="preserve"/>
            </w:r>
          </w:p>
        </w:tc>
        <w:tc>
          <w:tcPr>
            <w:tcW w:type="dxa" w:w="2860"/>
            <w:tcBorders>
              <w:top w:val="single" w:color="CCCCCC" w:sz="1"/>
              <w:left w:val="single" w:color="CCCCCC" w:sz="1"/>
              <w:bottom w:val="single" w:color="CCCCCC" w:sz="1"/>
              <w:right w:val="single" w:color="CCCCCC" w:sz="1"/>
            </w:tcBorders>
            <w:shd w:fill="e2e8f0" w:val="clear"/>
          </w:tcPr>
          <w:p>
            <w:r>
              <w:rPr>
                <w:b/>
                <w:bCs/>
              </w:rPr>
              <w:t xml:space="preserve">$88-163/month</w:t>
            </w:r>
          </w:p>
        </w:tc>
      </w:tr>
    </w:tbl>
    <w:p>
      <w:pPr>
        <w:spacing w:before="120"/>
      </w:pPr>
      <w:r>
        <w:rPr>
          <w:i/>
          <w:iCs/>
        </w:rPr>
        <w:t xml:space="preserve">Note: </w:t>
      </w:r>
      <w:r>
        <w:rPr>
          <w:i/>
          <w:iCs/>
        </w:rPr>
        <w:t xml:space="preserve">Imagine Cup provides $1,000-$5,000 in Azure credits for participants.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TaskFlow AI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2c5282"/>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2025-12-24T13:32:12.382Z</dcterms:created>
  <dcterms:modified xsi:type="dcterms:W3CDTF">2025-12-24T13:32:12.382Z</dcterms:modified>
</cp:coreProperties>
</file>

<file path=docProps/custom.xml><?xml version="1.0" encoding="utf-8"?>
<Properties xmlns="http://schemas.openxmlformats.org/officeDocument/2006/custom-properties" xmlns:vt="http://schemas.openxmlformats.org/officeDocument/2006/docPropsVTypes"/>
</file>