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200.0" w:type="dxa"/>
        <w:jc w:val="left"/>
        <w:tblInd w:w="-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3015"/>
        <w:gridCol w:w="3735"/>
        <w:gridCol w:w="3675"/>
        <w:tblGridChange w:id="0">
          <w:tblGrid>
            <w:gridCol w:w="2775"/>
            <w:gridCol w:w="3015"/>
            <w:gridCol w:w="3735"/>
            <w:gridCol w:w="36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Fortalezas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Oportunidades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Debilidades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Amenazas</w:t>
            </w:r>
          </w:p>
        </w:tc>
      </w:tr>
      <w:tr>
        <w:trPr>
          <w:cantSplit w:val="0"/>
          <w:trHeight w:val="7214.35546875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Bajo costo inicial.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Productos personalizables.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Atención personalizada.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Productos duraderos (Mayor valor percibido).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Posibilidad de ofrecer combos (Rascador + Juguete).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Uso de </w:t>
            </w:r>
            <w:r w:rsidDel="00000000" w:rsidR="00000000" w:rsidRPr="00000000">
              <w:rPr>
                <w:rtl w:val="0"/>
              </w:rPr>
              <w:t xml:space="preserve">materiales ecológicos o reciclados</w:t>
            </w:r>
            <w:r w:rsidDel="00000000" w:rsidR="00000000" w:rsidRPr="00000000">
              <w:rPr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Tendencia a comprar productos personalizados y hechos a mano.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Posibilidades de sumar nuevos productos (Camas, rascadores premium y accesorios).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Colaboraciones con veterinarias.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Venta en marketplace(Mercado Libre, Tienda Nube,etc.)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Exportación a futuro.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Abrir una sucursal propia.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Dificultad para avanzar rápido en las ventas.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Logística de envíos.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Dependencia de materiales y costos de insumos.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Producción limitada.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Poca capacidad de stock.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Falta de experiencia en marketing o ventas.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Tiempo largo de producción para los productos personalizados.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Costos de envíos elevados en productos grandes.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Problemas con proveedores.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Reseñas negativas que afecten a la reputación.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Replicas baratas de diseños propios.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Aumento de la materia prima.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Retrasos de envíos.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Invertir constantemente en publicidad.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Diseños personalizados pueden ser replicados por la competencia.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Clientes exigentes al personalizar sus propios productos.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Movimiento excesivo en el mercado por emprendimientos similares.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