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5A81" w:rsidRDefault="009D5A81">
      <w:pPr>
        <w:rPr>
          <w:lang w:val="fr-SN"/>
        </w:rPr>
      </w:pPr>
      <w:r>
        <w:rPr>
          <w:lang w:val="fr-SN"/>
        </w:rPr>
        <w:t>Cours ASSURANCES VIE ENSAE PIERRE NDIAY</w:t>
      </w:r>
      <w:r w:rsidR="00195652">
        <w:rPr>
          <w:lang w:val="fr-SN"/>
        </w:rPr>
        <w:t>E</w:t>
      </w:r>
    </w:p>
    <w:p w:rsidR="009D5A81" w:rsidRDefault="009D5A81">
      <w:pPr>
        <w:rPr>
          <w:lang w:val="fr-SN"/>
        </w:rPr>
      </w:pPr>
    </w:p>
    <w:p w:rsidR="009D5A81" w:rsidRDefault="009D5A81">
      <w:pPr>
        <w:rPr>
          <w:lang w:val="fr-SN"/>
        </w:rPr>
      </w:pPr>
    </w:p>
    <w:p w:rsidR="009D5A81" w:rsidRDefault="009D5A81">
      <w:pPr>
        <w:rPr>
          <w:lang w:val="fr-SN"/>
        </w:rPr>
      </w:pPr>
    </w:p>
    <w:p w:rsidR="009D5A81" w:rsidRDefault="009D5A81">
      <w:pPr>
        <w:rPr>
          <w:lang w:val="fr-SN"/>
        </w:rPr>
      </w:pPr>
      <w:r>
        <w:rPr>
          <w:lang w:val="fr-SN"/>
        </w:rPr>
        <w:t>Introduction et rappels mathématiques financières</w:t>
      </w:r>
    </w:p>
    <w:p w:rsidR="00AF2BE5" w:rsidRDefault="00AF2BE5">
      <w:pPr>
        <w:rPr>
          <w:lang w:val="fr-SN"/>
        </w:rPr>
      </w:pPr>
      <w:r>
        <w:rPr>
          <w:lang w:val="fr-SN"/>
        </w:rPr>
        <w:t xml:space="preserve">Intérêt </w:t>
      </w:r>
    </w:p>
    <w:p w:rsidR="00AF2BE5" w:rsidRDefault="00AF2BE5">
      <w:pPr>
        <w:rPr>
          <w:lang w:val="fr-SN"/>
        </w:rPr>
      </w:pPr>
      <w:r>
        <w:rPr>
          <w:lang w:val="fr-SN"/>
        </w:rPr>
        <w:t>Notion d’intérêt</w:t>
      </w:r>
    </w:p>
    <w:p w:rsidR="00AF2BE5" w:rsidRDefault="00AF2BE5">
      <w:pPr>
        <w:rPr>
          <w:lang w:val="fr-SN"/>
        </w:rPr>
      </w:pPr>
      <w:r>
        <w:rPr>
          <w:lang w:val="fr-SN"/>
        </w:rPr>
        <w:t>L’intérêt peut être défini comme la rémunération d’un prêt d’argent effectué par un agent économique (prêteur ) à un autre agent économique (emprunteur). Les justifications de cette rémunération sont le temps et le risque.</w:t>
      </w:r>
    </w:p>
    <w:p w:rsidR="00AF2BE5" w:rsidRDefault="00AF2BE5">
      <w:pPr>
        <w:rPr>
          <w:lang w:val="fr-SN"/>
        </w:rPr>
      </w:pPr>
      <w:r>
        <w:rPr>
          <w:lang w:val="fr-SN"/>
        </w:rPr>
        <w:t>Justification de l’intérêt : Prise en compte du temps</w:t>
      </w:r>
    </w:p>
    <w:p w:rsidR="00AF2BE5" w:rsidRDefault="00AF2BE5">
      <w:pPr>
        <w:rPr>
          <w:lang w:val="fr-SN"/>
        </w:rPr>
      </w:pPr>
      <w:r>
        <w:rPr>
          <w:lang w:val="fr-SN"/>
        </w:rPr>
        <w:t>Un agent économique qui prêt de l’argent renonce à une consommation immédiate ; il se prive ainsi de l’utilité qu’il pourrait recevoir de cette consommation immédiate. L’intérêt lui permet de recevoir une rémunération comme dédommagement.</w:t>
      </w:r>
    </w:p>
    <w:p w:rsidR="00AF2BE5" w:rsidRDefault="00AF2BE5">
      <w:pPr>
        <w:rPr>
          <w:lang w:val="fr-SN"/>
        </w:rPr>
      </w:pPr>
      <w:r>
        <w:rPr>
          <w:lang w:val="fr-SN"/>
        </w:rPr>
        <w:t>Justification de l’intérêt : inflation</w:t>
      </w:r>
    </w:p>
    <w:p w:rsidR="00AF2BE5" w:rsidRDefault="00AF2BE5">
      <w:pPr>
        <w:rPr>
          <w:lang w:val="fr-SN"/>
        </w:rPr>
      </w:pPr>
      <w:r>
        <w:rPr>
          <w:lang w:val="fr-SN"/>
        </w:rPr>
        <w:t>La rémunération obtenue par le prêteur doit au moins compenser l’effet de l’inflation qui crée une érosion monétaire.</w:t>
      </w:r>
    </w:p>
    <w:p w:rsidR="00AF2BE5" w:rsidRDefault="00AF2BE5">
      <w:pPr>
        <w:rPr>
          <w:lang w:val="fr-SN"/>
        </w:rPr>
      </w:pPr>
      <w:r>
        <w:rPr>
          <w:lang w:val="fr-SN"/>
        </w:rPr>
        <w:t xml:space="preserve">Justification de l’intérêt : risque de défaut </w:t>
      </w:r>
    </w:p>
    <w:p w:rsidR="00AF2BE5" w:rsidRDefault="00AF2BE5">
      <w:pPr>
        <w:rPr>
          <w:lang w:val="fr-SN"/>
        </w:rPr>
      </w:pPr>
      <w:r>
        <w:rPr>
          <w:lang w:val="fr-SN"/>
        </w:rPr>
        <w:t>Le prêt d’argent impliquant un risque de non remboursement, pour accepter ce risque, il est important pour le prêteur de percevoir une rémunération.</w:t>
      </w:r>
    </w:p>
    <w:p w:rsidR="00AF2BE5" w:rsidRDefault="00AF2BE5">
      <w:pPr>
        <w:rPr>
          <w:lang w:val="fr-SN"/>
        </w:rPr>
      </w:pPr>
      <w:r>
        <w:rPr>
          <w:lang w:val="fr-SN"/>
        </w:rPr>
        <w:t>Notion d’intérêt simple :</w:t>
      </w:r>
    </w:p>
    <w:p w:rsidR="00AF2BE5" w:rsidRDefault="00AF2BE5">
      <w:pPr>
        <w:rPr>
          <w:lang w:val="fr-SN"/>
        </w:rPr>
      </w:pPr>
      <w:r>
        <w:rPr>
          <w:lang w:val="fr-SN"/>
        </w:rPr>
        <w:t>Il se caractérise par deux éléments :</w:t>
      </w:r>
    </w:p>
    <w:p w:rsidR="00AF2BE5" w:rsidRDefault="00AF2BE5" w:rsidP="00AF2BE5">
      <w:pPr>
        <w:pStyle w:val="Paragraphedeliste"/>
        <w:numPr>
          <w:ilvl w:val="0"/>
          <w:numId w:val="1"/>
        </w:numPr>
        <w:rPr>
          <w:lang w:val="fr-SN"/>
        </w:rPr>
      </w:pPr>
      <w:r>
        <w:rPr>
          <w:lang w:val="fr-SN"/>
        </w:rPr>
        <w:t>Il est payé en une seule fois ;</w:t>
      </w:r>
    </w:p>
    <w:p w:rsidR="00AF2BE5" w:rsidRDefault="00AF2BE5" w:rsidP="00AF2BE5">
      <w:pPr>
        <w:pStyle w:val="Paragraphedeliste"/>
        <w:numPr>
          <w:ilvl w:val="0"/>
          <w:numId w:val="1"/>
        </w:numPr>
        <w:rPr>
          <w:lang w:val="fr-SN"/>
        </w:rPr>
      </w:pPr>
      <w:r>
        <w:rPr>
          <w:lang w:val="fr-SN"/>
        </w:rPr>
        <w:t>Il est proportionnel à la durée de l’opération</w:t>
      </w:r>
    </w:p>
    <w:p w:rsidR="00AF2BE5" w:rsidRDefault="00AF2BE5" w:rsidP="00AF2BE5">
      <w:pPr>
        <w:rPr>
          <w:lang w:val="fr-SN"/>
        </w:rPr>
      </w:pPr>
      <w:r>
        <w:rPr>
          <w:lang w:val="fr-SN"/>
        </w:rPr>
        <w:t>Notion d’intérêt composé</w:t>
      </w:r>
    </w:p>
    <w:p w:rsidR="00AF2BE5" w:rsidRDefault="00AF2BE5" w:rsidP="00AF2BE5">
      <w:pPr>
        <w:rPr>
          <w:lang w:val="fr-SN"/>
        </w:rPr>
      </w:pPr>
      <w:r>
        <w:rPr>
          <w:lang w:val="fr-SN"/>
        </w:rPr>
        <w:t>Dans le cadre des opérations à plus d’un , l’intérêt est généralement payé périodiquement. L’intérêt reçu à la fin de chaque période peut être replacé. D’où, la notion d’intérêts composés. Les intérêts produisent eux-mêmes des intérêts.</w:t>
      </w:r>
    </w:p>
    <w:p w:rsidR="001F70E2" w:rsidRDefault="00AF2BE5" w:rsidP="00AF2BE5">
      <w:pPr>
        <w:rPr>
          <w:rFonts w:eastAsiaTheme="minorEastAsia"/>
          <w:lang w:val="fr-SN"/>
        </w:rPr>
      </w:pPr>
      <w:r>
        <w:rPr>
          <w:lang w:val="fr-SN"/>
        </w:rPr>
        <w:t xml:space="preserve">Exemple : Un investissement effectue un placement </w:t>
      </w:r>
      <m:oMath>
        <m:sSub>
          <m:sSubPr>
            <m:ctrlPr>
              <w:rPr>
                <w:rFonts w:ascii="Cambria Math" w:hAnsi="Cambria Math"/>
                <w:i/>
                <w:lang w:val="fr-SN"/>
              </w:rPr>
            </m:ctrlPr>
          </m:sSubPr>
          <m:e>
            <m:r>
              <w:rPr>
                <w:rFonts w:ascii="Cambria Math" w:hAnsi="Cambria Math"/>
                <w:lang w:val="fr-SN"/>
              </w:rPr>
              <m:t>S</m:t>
            </m:r>
          </m:e>
          <m:sub>
            <m:r>
              <w:rPr>
                <w:rFonts w:ascii="Cambria Math" w:hAnsi="Cambria Math"/>
                <w:lang w:val="fr-SN"/>
              </w:rPr>
              <m:t>0</m:t>
            </m:r>
          </m:sub>
        </m:sSub>
      </m:oMath>
      <w:r w:rsidR="001F70E2">
        <w:rPr>
          <w:rFonts w:eastAsiaTheme="minorEastAsia"/>
          <w:lang w:val="fr-SN"/>
        </w:rPr>
        <w:t xml:space="preserve"> à </w:t>
      </w:r>
      <m:oMath>
        <m:r>
          <w:rPr>
            <w:rFonts w:ascii="Cambria Math" w:eastAsiaTheme="minorEastAsia" w:hAnsi="Cambria Math"/>
            <w:lang w:val="fr-SN"/>
          </w:rPr>
          <m:t>t=0</m:t>
        </m:r>
      </m:oMath>
      <w:r w:rsidR="001F70E2">
        <w:rPr>
          <w:rFonts w:eastAsiaTheme="minorEastAsia"/>
          <w:lang w:val="fr-SN"/>
        </w:rPr>
        <w:t xml:space="preserve"> au taux d’intérêt annuel i, on note T l’échéance du placement. Nous allons déterminer la valeur acquise à la fin de l’année T.</w:t>
      </w:r>
    </w:p>
    <w:p w:rsidR="001F70E2" w:rsidRDefault="001F70E2" w:rsidP="00AF2BE5">
      <w:pPr>
        <w:rPr>
          <w:rFonts w:eastAsiaTheme="minorEastAsia"/>
          <w:lang w:val="fr-SN"/>
        </w:rPr>
      </w:pPr>
      <w:r>
        <w:rPr>
          <w:rFonts w:eastAsiaTheme="minorEastAsia"/>
          <w:lang w:val="fr-SN"/>
        </w:rPr>
        <w:t>Capitalisation et actualisation</w:t>
      </w:r>
    </w:p>
    <w:p w:rsidR="001F70E2" w:rsidRDefault="001F70E2" w:rsidP="00AF2BE5">
      <w:pPr>
        <w:rPr>
          <w:rFonts w:eastAsiaTheme="minorEastAsia"/>
          <w:lang w:val="fr-SN"/>
        </w:rPr>
      </w:pPr>
      <w:r>
        <w:rPr>
          <w:rFonts w:eastAsiaTheme="minorEastAsia"/>
          <w:lang w:val="fr-SN"/>
        </w:rPr>
        <w:t>Le taux d’intérêt est le taux de transformation de l’argent dans le temps.</w:t>
      </w:r>
    </w:p>
    <w:p w:rsidR="001F70E2" w:rsidRDefault="001F70E2" w:rsidP="00AF2BE5">
      <w:pPr>
        <w:rPr>
          <w:rFonts w:eastAsiaTheme="minorEastAsia"/>
          <w:lang w:val="fr-SN"/>
        </w:rPr>
      </w:pPr>
      <w:r>
        <w:rPr>
          <w:rFonts w:eastAsiaTheme="minorEastAsia"/>
          <w:lang w:val="fr-SN"/>
        </w:rPr>
        <w:t>Principe de capitalisation</w:t>
      </w:r>
    </w:p>
    <w:p w:rsidR="001F70E2" w:rsidRDefault="001F70E2" w:rsidP="00AF2BE5">
      <w:pPr>
        <w:rPr>
          <w:rFonts w:eastAsiaTheme="minorEastAsia"/>
          <w:lang w:val="fr-SN"/>
        </w:rPr>
      </w:pPr>
      <w:r>
        <w:rPr>
          <w:rFonts w:eastAsiaTheme="minorEastAsia"/>
          <w:lang w:val="fr-SN"/>
        </w:rPr>
        <w:lastRenderedPageBreak/>
        <w:t xml:space="preserve">Le calcul de capitalisation permet de déterminer la valeur acquise d’une somme présente. La valeur acquise d’une somme </w:t>
      </w:r>
      <m:oMath>
        <m:sSub>
          <m:sSubPr>
            <m:ctrlPr>
              <w:rPr>
                <w:rFonts w:ascii="Cambria Math" w:eastAsiaTheme="minorEastAsia" w:hAnsi="Cambria Math"/>
                <w:i/>
                <w:lang w:val="fr-SN"/>
              </w:rPr>
            </m:ctrlPr>
          </m:sSubPr>
          <m:e>
            <m:r>
              <w:rPr>
                <w:rFonts w:ascii="Cambria Math" w:eastAsiaTheme="minorEastAsia" w:hAnsi="Cambria Math"/>
                <w:lang w:val="fr-SN"/>
              </w:rPr>
              <m:t>S</m:t>
            </m:r>
          </m:e>
          <m:sub>
            <m:r>
              <w:rPr>
                <w:rFonts w:ascii="Cambria Math" w:eastAsiaTheme="minorEastAsia" w:hAnsi="Cambria Math"/>
                <w:lang w:val="fr-SN"/>
              </w:rPr>
              <m:t>0</m:t>
            </m:r>
          </m:sub>
        </m:sSub>
      </m:oMath>
      <w:r>
        <w:rPr>
          <w:rFonts w:eastAsiaTheme="minorEastAsia"/>
          <w:lang w:val="fr-SN"/>
        </w:rPr>
        <w:t xml:space="preserve"> capitalisée au taux d’intérêt i pendant une année est :</w:t>
      </w:r>
    </w:p>
    <w:p w:rsidR="001F70E2" w:rsidRPr="001F70E2" w:rsidRDefault="001F70E2" w:rsidP="00AF2BE5">
      <w:pPr>
        <w:rPr>
          <w:rFonts w:eastAsiaTheme="minorEastAsia"/>
          <w:lang w:val="fr-SN"/>
        </w:rPr>
      </w:pPr>
      <m:oMathPara>
        <m:oMath>
          <m:sSub>
            <m:sSubPr>
              <m:ctrlPr>
                <w:rPr>
                  <w:rFonts w:ascii="Cambria Math" w:eastAsiaTheme="minorEastAsia" w:hAnsi="Cambria Math"/>
                  <w:i/>
                  <w:lang w:val="fr-SN"/>
                </w:rPr>
              </m:ctrlPr>
            </m:sSubPr>
            <m:e>
              <m:r>
                <w:rPr>
                  <w:rFonts w:ascii="Cambria Math" w:eastAsiaTheme="minorEastAsia" w:hAnsi="Cambria Math"/>
                  <w:lang w:val="fr-SN"/>
                </w:rPr>
                <m:t>S</m:t>
              </m:r>
            </m:e>
            <m:sub>
              <m:r>
                <w:rPr>
                  <w:rFonts w:ascii="Cambria Math" w:eastAsiaTheme="minorEastAsia" w:hAnsi="Cambria Math"/>
                  <w:lang w:val="fr-SN"/>
                </w:rPr>
                <m:t>1</m:t>
              </m:r>
            </m:sub>
          </m:sSub>
          <m:r>
            <w:rPr>
              <w:rFonts w:ascii="Cambria Math" w:eastAsiaTheme="minorEastAsia" w:hAnsi="Cambria Math"/>
              <w:lang w:val="fr-SN"/>
            </w:rPr>
            <m:t>=</m:t>
          </m:r>
          <m:sSub>
            <m:sSubPr>
              <m:ctrlPr>
                <w:rPr>
                  <w:rFonts w:ascii="Cambria Math" w:eastAsiaTheme="minorEastAsia" w:hAnsi="Cambria Math"/>
                  <w:i/>
                  <w:lang w:val="fr-SN"/>
                </w:rPr>
              </m:ctrlPr>
            </m:sSubPr>
            <m:e>
              <m:r>
                <w:rPr>
                  <w:rFonts w:ascii="Cambria Math" w:eastAsiaTheme="minorEastAsia" w:hAnsi="Cambria Math"/>
                  <w:lang w:val="fr-SN"/>
                </w:rPr>
                <m:t>S</m:t>
              </m:r>
            </m:e>
            <m:sub>
              <m:r>
                <w:rPr>
                  <w:rFonts w:ascii="Cambria Math" w:eastAsiaTheme="minorEastAsia" w:hAnsi="Cambria Math"/>
                  <w:lang w:val="fr-SN"/>
                </w:rPr>
                <m:t>0</m:t>
              </m:r>
            </m:sub>
          </m:sSub>
          <m:d>
            <m:dPr>
              <m:ctrlPr>
                <w:rPr>
                  <w:rFonts w:ascii="Cambria Math" w:eastAsiaTheme="minorEastAsia" w:hAnsi="Cambria Math"/>
                  <w:i/>
                  <w:lang w:val="fr-SN"/>
                </w:rPr>
              </m:ctrlPr>
            </m:dPr>
            <m:e>
              <m:r>
                <w:rPr>
                  <w:rFonts w:ascii="Cambria Math" w:eastAsiaTheme="minorEastAsia" w:hAnsi="Cambria Math"/>
                  <w:lang w:val="fr-SN"/>
                </w:rPr>
                <m:t>1+i</m:t>
              </m:r>
            </m:e>
          </m:d>
        </m:oMath>
      </m:oMathPara>
    </w:p>
    <w:p w:rsidR="001F70E2" w:rsidRDefault="001F70E2" w:rsidP="00AF2BE5">
      <w:pPr>
        <w:rPr>
          <w:rFonts w:eastAsiaTheme="minorEastAsia"/>
          <w:lang w:val="fr-SN"/>
        </w:rPr>
      </w:pPr>
      <w:r>
        <w:rPr>
          <w:rFonts w:eastAsiaTheme="minorEastAsia"/>
          <w:lang w:val="fr-SN"/>
        </w:rPr>
        <w:t>Principe d’actualisation</w:t>
      </w:r>
    </w:p>
    <w:p w:rsidR="001F70E2" w:rsidRDefault="001F70E2" w:rsidP="00AF2BE5">
      <w:pPr>
        <w:rPr>
          <w:rFonts w:eastAsiaTheme="minorEastAsia"/>
          <w:lang w:val="fr-SN"/>
        </w:rPr>
      </w:pPr>
      <w:r>
        <w:rPr>
          <w:rFonts w:eastAsiaTheme="minorEastAsia"/>
          <w:lang w:val="fr-SN"/>
        </w:rPr>
        <w:t xml:space="preserve">La détermination de la valeur actuelle d’une somme future fait appel à la notion d’actualisation. La valeur actuelle </w:t>
      </w:r>
      <m:oMath>
        <m:sSub>
          <m:sSubPr>
            <m:ctrlPr>
              <w:rPr>
                <w:rFonts w:ascii="Cambria Math" w:eastAsiaTheme="minorEastAsia" w:hAnsi="Cambria Math"/>
                <w:i/>
                <w:lang w:val="fr-SN"/>
              </w:rPr>
            </m:ctrlPr>
          </m:sSubPr>
          <m:e>
            <m:r>
              <w:rPr>
                <w:rFonts w:ascii="Cambria Math" w:eastAsiaTheme="minorEastAsia" w:hAnsi="Cambria Math"/>
                <w:lang w:val="fr-SN"/>
              </w:rPr>
              <m:t>S</m:t>
            </m:r>
          </m:e>
          <m:sub>
            <m:r>
              <w:rPr>
                <w:rFonts w:ascii="Cambria Math" w:eastAsiaTheme="minorEastAsia" w:hAnsi="Cambria Math"/>
                <w:lang w:val="fr-SN"/>
              </w:rPr>
              <m:t>0</m:t>
            </m:r>
          </m:sub>
        </m:sSub>
      </m:oMath>
      <w:r>
        <w:rPr>
          <w:rFonts w:eastAsiaTheme="minorEastAsia"/>
          <w:lang w:val="fr-SN"/>
        </w:rPr>
        <w:t xml:space="preserve"> d’une somme disponible dans une année et placée au taux d’intérêt i est :</w:t>
      </w:r>
    </w:p>
    <w:p w:rsidR="001F70E2" w:rsidRPr="001F70E2" w:rsidRDefault="001F70E2" w:rsidP="00AF2BE5">
      <w:pPr>
        <w:rPr>
          <w:rFonts w:eastAsiaTheme="minorEastAsia"/>
          <w:lang w:val="fr-SN"/>
        </w:rPr>
      </w:pPr>
      <m:oMathPara>
        <m:oMath>
          <m:sSub>
            <m:sSubPr>
              <m:ctrlPr>
                <w:rPr>
                  <w:rFonts w:ascii="Cambria Math" w:eastAsiaTheme="minorEastAsia" w:hAnsi="Cambria Math"/>
                  <w:i/>
                  <w:lang w:val="fr-SN"/>
                </w:rPr>
              </m:ctrlPr>
            </m:sSubPr>
            <m:e>
              <m:r>
                <w:rPr>
                  <w:rFonts w:ascii="Cambria Math" w:eastAsiaTheme="minorEastAsia" w:hAnsi="Cambria Math"/>
                  <w:lang w:val="fr-SN"/>
                </w:rPr>
                <m:t>S</m:t>
              </m:r>
            </m:e>
            <m:sub>
              <m:r>
                <w:rPr>
                  <w:rFonts w:ascii="Cambria Math" w:eastAsiaTheme="minorEastAsia" w:hAnsi="Cambria Math"/>
                  <w:lang w:val="fr-SN"/>
                </w:rPr>
                <m:t>0</m:t>
              </m:r>
            </m:sub>
          </m:sSub>
          <m:r>
            <w:rPr>
              <w:rFonts w:ascii="Cambria Math" w:eastAsiaTheme="minorEastAsia" w:hAnsi="Cambria Math"/>
              <w:lang w:val="fr-SN"/>
            </w:rPr>
            <m:t>=</m:t>
          </m:r>
          <m:f>
            <m:fPr>
              <m:ctrlPr>
                <w:rPr>
                  <w:rFonts w:ascii="Cambria Math" w:eastAsiaTheme="minorEastAsia" w:hAnsi="Cambria Math"/>
                  <w:i/>
                  <w:lang w:val="fr-SN"/>
                </w:rPr>
              </m:ctrlPr>
            </m:fPr>
            <m:num>
              <m:sSub>
                <m:sSubPr>
                  <m:ctrlPr>
                    <w:rPr>
                      <w:rFonts w:ascii="Cambria Math" w:eastAsiaTheme="minorEastAsia" w:hAnsi="Cambria Math"/>
                      <w:i/>
                      <w:lang w:val="fr-SN"/>
                    </w:rPr>
                  </m:ctrlPr>
                </m:sSubPr>
                <m:e>
                  <m:r>
                    <w:rPr>
                      <w:rFonts w:ascii="Cambria Math" w:eastAsiaTheme="minorEastAsia" w:hAnsi="Cambria Math"/>
                      <w:lang w:val="fr-SN"/>
                    </w:rPr>
                    <m:t>S</m:t>
                  </m:r>
                </m:e>
                <m:sub>
                  <m:r>
                    <w:rPr>
                      <w:rFonts w:ascii="Cambria Math" w:eastAsiaTheme="minorEastAsia" w:hAnsi="Cambria Math"/>
                      <w:lang w:val="fr-SN"/>
                    </w:rPr>
                    <m:t>1</m:t>
                  </m:r>
                </m:sub>
              </m:sSub>
            </m:num>
            <m:den>
              <m:r>
                <w:rPr>
                  <w:rFonts w:ascii="Cambria Math" w:eastAsiaTheme="minorEastAsia" w:hAnsi="Cambria Math"/>
                  <w:lang w:val="fr-SN"/>
                </w:rPr>
                <m:t>1+i</m:t>
              </m:r>
            </m:den>
          </m:f>
        </m:oMath>
      </m:oMathPara>
    </w:p>
    <w:p w:rsidR="001F70E2" w:rsidRDefault="001F70E2" w:rsidP="00AF2BE5">
      <w:pPr>
        <w:rPr>
          <w:rFonts w:eastAsiaTheme="minorEastAsia"/>
          <w:lang w:val="fr-SN"/>
        </w:rPr>
      </w:pPr>
      <w:r>
        <w:rPr>
          <w:rFonts w:eastAsiaTheme="minorEastAsia"/>
          <w:lang w:val="fr-SN"/>
        </w:rPr>
        <w:t>Définition de l’assurance</w:t>
      </w:r>
    </w:p>
    <w:p w:rsidR="001F70E2" w:rsidRDefault="001F70E2" w:rsidP="00AF2BE5">
      <w:pPr>
        <w:rPr>
          <w:rFonts w:eastAsiaTheme="minorEastAsia"/>
          <w:lang w:val="fr-SN"/>
        </w:rPr>
      </w:pPr>
      <w:r>
        <w:rPr>
          <w:rFonts w:eastAsiaTheme="minorEastAsia"/>
          <w:lang w:val="fr-SN"/>
        </w:rPr>
        <w:t>C’est une opération par laquelle une partie, l’assuré, se promettre , moyennant le paiement d’une prime pour lui ou un tiers en cas de réalisation d’un risque une prestation par une autre partie l’assureur qui prenant en charge un ensemble de risques les compense conformément aux lois de la statistique.</w:t>
      </w:r>
    </w:p>
    <w:p w:rsidR="001F70E2" w:rsidRDefault="001F70E2" w:rsidP="00AF2BE5">
      <w:pPr>
        <w:rPr>
          <w:rFonts w:eastAsiaTheme="minorEastAsia"/>
          <w:lang w:val="fr-SN"/>
        </w:rPr>
      </w:pPr>
    </w:p>
    <w:p w:rsidR="001F70E2" w:rsidRDefault="001F70E2" w:rsidP="00AF2BE5">
      <w:pPr>
        <w:rPr>
          <w:rFonts w:eastAsiaTheme="minorEastAsia"/>
          <w:lang w:val="fr-SN"/>
        </w:rPr>
      </w:pPr>
      <w:r>
        <w:rPr>
          <w:rFonts w:eastAsiaTheme="minorEastAsia"/>
          <w:lang w:val="fr-SN"/>
        </w:rPr>
        <w:t>Rôle de l’assurance</w:t>
      </w:r>
    </w:p>
    <w:p w:rsidR="001F70E2" w:rsidRDefault="001F70E2" w:rsidP="001F70E2">
      <w:pPr>
        <w:pStyle w:val="Paragraphedeliste"/>
        <w:numPr>
          <w:ilvl w:val="0"/>
          <w:numId w:val="1"/>
        </w:numPr>
        <w:rPr>
          <w:rFonts w:eastAsiaTheme="minorEastAsia"/>
          <w:lang w:val="fr-SN"/>
        </w:rPr>
      </w:pPr>
      <w:r>
        <w:rPr>
          <w:rFonts w:eastAsiaTheme="minorEastAsia"/>
          <w:lang w:val="fr-SN"/>
        </w:rPr>
        <w:t>Protéger les personnes</w:t>
      </w:r>
    </w:p>
    <w:p w:rsidR="001F70E2" w:rsidRDefault="001F70E2" w:rsidP="001F70E2">
      <w:pPr>
        <w:pStyle w:val="Paragraphedeliste"/>
        <w:numPr>
          <w:ilvl w:val="0"/>
          <w:numId w:val="1"/>
        </w:numPr>
        <w:rPr>
          <w:rFonts w:eastAsiaTheme="minorEastAsia"/>
          <w:lang w:val="fr-SN"/>
        </w:rPr>
      </w:pPr>
      <w:r>
        <w:rPr>
          <w:rFonts w:eastAsiaTheme="minorEastAsia"/>
          <w:lang w:val="fr-SN"/>
        </w:rPr>
        <w:t>Protéger les biens</w:t>
      </w:r>
    </w:p>
    <w:p w:rsidR="001F70E2" w:rsidRDefault="001F70E2" w:rsidP="001F70E2">
      <w:pPr>
        <w:pStyle w:val="Paragraphedeliste"/>
        <w:numPr>
          <w:ilvl w:val="0"/>
          <w:numId w:val="1"/>
        </w:numPr>
        <w:rPr>
          <w:rFonts w:eastAsiaTheme="minorEastAsia"/>
          <w:lang w:val="fr-SN"/>
        </w:rPr>
      </w:pPr>
      <w:r>
        <w:rPr>
          <w:rFonts w:eastAsiaTheme="minorEastAsia"/>
          <w:lang w:val="fr-SN"/>
        </w:rPr>
        <w:t>Faciliter les crédits (ADI, …)</w:t>
      </w:r>
    </w:p>
    <w:p w:rsidR="001F70E2" w:rsidRPr="009D5A81" w:rsidRDefault="001F70E2" w:rsidP="001F70E2">
      <w:pPr>
        <w:pStyle w:val="Paragraphedeliste"/>
        <w:numPr>
          <w:ilvl w:val="0"/>
          <w:numId w:val="1"/>
        </w:numPr>
        <w:rPr>
          <w:rFonts w:eastAsiaTheme="minorEastAsia"/>
          <w:lang w:val="fr-SN"/>
        </w:rPr>
      </w:pPr>
      <w:r>
        <w:rPr>
          <w:rFonts w:eastAsiaTheme="minorEastAsia"/>
          <w:lang w:val="fr-SN"/>
        </w:rPr>
        <w:t>Se constituer un patrimoine financier</w:t>
      </w:r>
    </w:p>
    <w:p w:rsidR="001F70E2" w:rsidRDefault="001F70E2" w:rsidP="001F70E2">
      <w:pPr>
        <w:rPr>
          <w:rFonts w:eastAsiaTheme="minorEastAsia"/>
          <w:lang w:val="fr-SN"/>
        </w:rPr>
      </w:pPr>
      <w:r>
        <w:rPr>
          <w:rFonts w:eastAsiaTheme="minorEastAsia"/>
          <w:lang w:val="fr-SN"/>
        </w:rPr>
        <w:t>Typologie des contrats et tarification</w:t>
      </w:r>
    </w:p>
    <w:p w:rsidR="001F70E2" w:rsidRDefault="001F70E2" w:rsidP="001F70E2">
      <w:pPr>
        <w:rPr>
          <w:rFonts w:eastAsiaTheme="minorEastAsia"/>
          <w:lang w:val="fr-SN"/>
        </w:rPr>
      </w:pPr>
      <w:r>
        <w:rPr>
          <w:rFonts w:eastAsiaTheme="minorEastAsia"/>
          <w:lang w:val="fr-SN"/>
        </w:rPr>
        <w:t>Typologie des contrats</w:t>
      </w:r>
    </w:p>
    <w:p w:rsidR="001F70E2" w:rsidRDefault="001F70E2" w:rsidP="001F70E2">
      <w:pPr>
        <w:rPr>
          <w:rFonts w:eastAsiaTheme="minorEastAsia"/>
          <w:lang w:val="fr-SN"/>
        </w:rPr>
      </w:pPr>
      <w:r>
        <w:rPr>
          <w:rFonts w:eastAsiaTheme="minorEastAsia"/>
          <w:lang w:val="fr-SN"/>
        </w:rPr>
        <w:t>Définition du contrat d’assurance vie</w:t>
      </w:r>
    </w:p>
    <w:p w:rsidR="00B63B88" w:rsidRDefault="00B63B88" w:rsidP="001F70E2">
      <w:pPr>
        <w:rPr>
          <w:rFonts w:eastAsiaTheme="minorEastAsia"/>
          <w:lang w:val="fr-SN"/>
        </w:rPr>
      </w:pPr>
      <w:r>
        <w:rPr>
          <w:rFonts w:eastAsiaTheme="minorEastAsia"/>
          <w:lang w:val="fr-SN"/>
        </w:rPr>
        <w:t>Le contrat d’assurance vie est un contrat par lequel l’assureur en contrepartie de primes payées par le souscripteur s’engage à verser à un bénéficiaire déterminé un capital ou une rente en cas de décès de l’assuré pendant une période déterminée ou viagère ou en cas de survie de celui-ci à une époque précise.</w:t>
      </w:r>
    </w:p>
    <w:p w:rsidR="00B63B88" w:rsidRDefault="00B63B88" w:rsidP="001F70E2">
      <w:pPr>
        <w:rPr>
          <w:rFonts w:eastAsiaTheme="minorEastAsia"/>
          <w:lang w:val="fr-SN"/>
        </w:rPr>
      </w:pPr>
      <w:r>
        <w:rPr>
          <w:rFonts w:eastAsiaTheme="minorEastAsia"/>
          <w:lang w:val="fr-SN"/>
        </w:rPr>
        <w:t>Typologie des contrats</w:t>
      </w:r>
    </w:p>
    <w:p w:rsidR="00B63B88" w:rsidRDefault="00B63B88" w:rsidP="001F70E2">
      <w:pPr>
        <w:rPr>
          <w:rFonts w:eastAsiaTheme="minorEastAsia"/>
          <w:lang w:val="fr-SN"/>
        </w:rPr>
      </w:pPr>
      <w:r>
        <w:rPr>
          <w:rFonts w:eastAsiaTheme="minorEastAsia"/>
          <w:lang w:val="fr-SN"/>
        </w:rPr>
        <w:t>Il y’a trois (03) familles de contrats : la famille en cas de décès , la famille en cas de vie et la famille en cas de vie et en cas de décès.</w:t>
      </w:r>
    </w:p>
    <w:p w:rsidR="00B63B88" w:rsidRDefault="00B63B88" w:rsidP="001F70E2">
      <w:pPr>
        <w:rPr>
          <w:rFonts w:eastAsiaTheme="minorEastAsia"/>
          <w:lang w:val="fr-SN"/>
        </w:rPr>
      </w:pPr>
      <w:r>
        <w:rPr>
          <w:rFonts w:eastAsiaTheme="minorEastAsia"/>
          <w:lang w:val="fr-SN"/>
        </w:rPr>
        <w:t>La famille en cas de décès</w:t>
      </w:r>
    </w:p>
    <w:p w:rsidR="00B63B88" w:rsidRDefault="00B63B88" w:rsidP="00B63B88">
      <w:pPr>
        <w:rPr>
          <w:rFonts w:eastAsiaTheme="minorEastAsia"/>
          <w:lang w:val="fr-SN"/>
        </w:rPr>
      </w:pPr>
      <w:r>
        <w:rPr>
          <w:rFonts w:eastAsiaTheme="minorEastAsia"/>
          <w:lang w:val="fr-SN"/>
        </w:rPr>
        <w:t>La temporaire décès</w:t>
      </w:r>
    </w:p>
    <w:p w:rsidR="00B63B88" w:rsidRDefault="00B63B88" w:rsidP="001F70E2">
      <w:pPr>
        <w:rPr>
          <w:rFonts w:eastAsiaTheme="minorEastAsia"/>
          <w:lang w:val="fr-SN"/>
        </w:rPr>
      </w:pPr>
      <w:r>
        <w:rPr>
          <w:rFonts w:eastAsiaTheme="minorEastAsia"/>
          <w:lang w:val="fr-SN"/>
        </w:rPr>
        <w:t xml:space="preserve">La vie entière </w:t>
      </w:r>
    </w:p>
    <w:p w:rsidR="00B63B88" w:rsidRDefault="00B63B88" w:rsidP="001F70E2">
      <w:pPr>
        <w:rPr>
          <w:rFonts w:eastAsiaTheme="minorEastAsia"/>
          <w:lang w:val="fr-SN"/>
        </w:rPr>
      </w:pPr>
      <w:r>
        <w:rPr>
          <w:rFonts w:eastAsiaTheme="minorEastAsia"/>
          <w:lang w:val="fr-SN"/>
        </w:rPr>
        <w:t>La famille en cas de vie</w:t>
      </w:r>
    </w:p>
    <w:p w:rsidR="00B63B88" w:rsidRDefault="00B63B88" w:rsidP="00B63B88">
      <w:pPr>
        <w:rPr>
          <w:rFonts w:eastAsiaTheme="minorEastAsia"/>
          <w:lang w:val="fr-SN"/>
        </w:rPr>
      </w:pPr>
      <w:r>
        <w:rPr>
          <w:rFonts w:eastAsiaTheme="minorEastAsia"/>
          <w:lang w:val="fr-SN"/>
        </w:rPr>
        <w:t>Le capital différé (CD)</w:t>
      </w:r>
    </w:p>
    <w:p w:rsidR="00B63B88" w:rsidRDefault="00B63B88" w:rsidP="001F70E2">
      <w:pPr>
        <w:rPr>
          <w:rFonts w:eastAsiaTheme="minorEastAsia"/>
          <w:lang w:val="fr-SN"/>
        </w:rPr>
      </w:pPr>
      <w:r>
        <w:rPr>
          <w:rFonts w:eastAsiaTheme="minorEastAsia"/>
          <w:lang w:val="fr-SN"/>
        </w:rPr>
        <w:t>L’assurance de rentes viagères immédiates</w:t>
      </w:r>
    </w:p>
    <w:p w:rsidR="00B63B88" w:rsidRDefault="00B63B88" w:rsidP="001F70E2">
      <w:pPr>
        <w:rPr>
          <w:rFonts w:eastAsiaTheme="minorEastAsia"/>
          <w:lang w:val="fr-SN"/>
        </w:rPr>
      </w:pPr>
      <w:r>
        <w:rPr>
          <w:rFonts w:eastAsiaTheme="minorEastAsia"/>
          <w:lang w:val="fr-SN"/>
        </w:rPr>
        <w:t>La famille en cas de vie et en cas de décès</w:t>
      </w:r>
    </w:p>
    <w:p w:rsidR="00B63B88" w:rsidRDefault="00B63B88" w:rsidP="001F70E2">
      <w:pPr>
        <w:rPr>
          <w:rFonts w:eastAsiaTheme="minorEastAsia"/>
          <w:lang w:val="fr-SN"/>
        </w:rPr>
      </w:pPr>
      <w:r>
        <w:rPr>
          <w:rFonts w:eastAsiaTheme="minorEastAsia"/>
          <w:lang w:val="fr-SN"/>
        </w:rPr>
        <w:lastRenderedPageBreak/>
        <w:t>L’assurance mixte</w:t>
      </w:r>
    </w:p>
    <w:p w:rsidR="00B63B88" w:rsidRDefault="00B63B88" w:rsidP="001F70E2">
      <w:pPr>
        <w:rPr>
          <w:rFonts w:eastAsiaTheme="minorEastAsia"/>
          <w:lang w:val="fr-SN"/>
        </w:rPr>
      </w:pPr>
      <w:r>
        <w:rPr>
          <w:rFonts w:eastAsiaTheme="minorEastAsia"/>
          <w:lang w:val="fr-SN"/>
        </w:rPr>
        <w:t>La terme fixe</w:t>
      </w:r>
    </w:p>
    <w:p w:rsidR="009D5A81" w:rsidRDefault="00B63B88" w:rsidP="001F70E2">
      <w:pPr>
        <w:rPr>
          <w:rFonts w:eastAsiaTheme="minorEastAsia"/>
          <w:lang w:val="fr-SN"/>
        </w:rPr>
      </w:pPr>
      <w:r>
        <w:rPr>
          <w:rFonts w:eastAsiaTheme="minorEastAsia"/>
          <w:lang w:val="fr-SN"/>
        </w:rPr>
        <w:t>Tarification en assurance vie</w:t>
      </w:r>
    </w:p>
    <w:p w:rsidR="00B63B88" w:rsidRPr="009D5A81" w:rsidRDefault="00B63B88" w:rsidP="001F70E2">
      <w:pPr>
        <w:rPr>
          <w:rFonts w:eastAsiaTheme="minorEastAsia"/>
          <w:lang w:val="fr-SN"/>
        </w:rPr>
      </w:pPr>
      <w:r w:rsidRPr="00B63B88">
        <w:rPr>
          <w:rFonts w:eastAsiaTheme="minorEastAsia"/>
        </w:rPr>
        <w:t>La Tarification en Assurance Vie fait intervenir différents éléments parmi lesquels nous pouvons citer la table mortalité et le taux d’intérêt technique.</w:t>
      </w:r>
    </w:p>
    <w:p w:rsidR="009D5A81" w:rsidRDefault="00B63B88" w:rsidP="001F70E2">
      <w:pPr>
        <w:rPr>
          <w:rFonts w:eastAsiaTheme="minorEastAsia"/>
        </w:rPr>
      </w:pPr>
      <w:r w:rsidRPr="00B63B88">
        <w:rPr>
          <w:rFonts w:eastAsiaTheme="minorEastAsia"/>
        </w:rPr>
        <w:t>La Mortalité</w:t>
      </w:r>
      <w:r w:rsidR="009D5A81">
        <w:rPr>
          <w:rFonts w:eastAsiaTheme="minorEastAsia"/>
        </w:rPr>
        <w:t> :</w:t>
      </w:r>
    </w:p>
    <w:p w:rsidR="00B63B88" w:rsidRDefault="00B63B88" w:rsidP="001F70E2">
      <w:pPr>
        <w:rPr>
          <w:rFonts w:eastAsiaTheme="minorEastAsia"/>
        </w:rPr>
      </w:pPr>
      <w:r w:rsidRPr="00B63B88">
        <w:rPr>
          <w:rFonts w:eastAsiaTheme="minorEastAsia"/>
        </w:rPr>
        <w:t>Parmi les facteurs influant la mortalité, nous pouvons citer l’âge, le sexe, la catégorie socio-professionnelle, l’état de santé.</w:t>
      </w:r>
    </w:p>
    <w:p w:rsidR="009D5A81" w:rsidRDefault="009D5A81" w:rsidP="001F70E2">
      <w:pPr>
        <w:rPr>
          <w:rFonts w:eastAsiaTheme="minorEastAsia"/>
        </w:rPr>
      </w:pPr>
      <w:r>
        <w:rPr>
          <w:rFonts w:eastAsiaTheme="minorEastAsia"/>
        </w:rPr>
        <w:t xml:space="preserve">La </w:t>
      </w:r>
      <w:r w:rsidR="00B63B88" w:rsidRPr="00B63B88">
        <w:rPr>
          <w:rFonts w:eastAsiaTheme="minorEastAsia"/>
        </w:rPr>
        <w:t>Probabilité de survie</w:t>
      </w:r>
      <w:r>
        <w:rPr>
          <w:rFonts w:eastAsiaTheme="minorEastAsia"/>
        </w:rPr>
        <w:t> :</w:t>
      </w:r>
    </w:p>
    <w:p w:rsidR="00B63B88" w:rsidRDefault="00B63B88" w:rsidP="001F70E2">
      <w:pPr>
        <w:rPr>
          <w:rFonts w:ascii="Calibri" w:eastAsiaTheme="minorEastAsia" w:hAnsi="Calibri" w:cs="Calibri"/>
        </w:rPr>
      </w:pPr>
      <w:r w:rsidRPr="00B63B88">
        <w:rPr>
          <w:rFonts w:eastAsiaTheme="minorEastAsia"/>
        </w:rPr>
        <w:t xml:space="preserve">On considère une personne d’âge x à la date 0. La personne décèdera à la date </w:t>
      </w:r>
      <w:r w:rsidRPr="00B63B88">
        <w:rPr>
          <w:rFonts w:ascii="Cambria Math" w:eastAsiaTheme="minorEastAsia" w:hAnsi="Cambria Math" w:cs="Cambria Math"/>
        </w:rPr>
        <w:t>𝑇𝑥</w:t>
      </w:r>
      <w:r w:rsidRPr="00B63B88">
        <w:rPr>
          <w:rFonts w:eastAsiaTheme="minorEastAsia"/>
        </w:rPr>
        <w:t>qui est une variable aléatoire. On fixe un âge ω</w:t>
      </w:r>
      <w:r>
        <w:rPr>
          <w:rFonts w:eastAsiaTheme="minorEastAsia"/>
        </w:rPr>
        <w:t xml:space="preserve"> </w:t>
      </w:r>
      <w:r w:rsidRPr="00B63B88">
        <w:rPr>
          <w:rFonts w:eastAsiaTheme="minorEastAsia"/>
        </w:rPr>
        <w:t xml:space="preserve">qui est un âge maximal i.e </w:t>
      </w:r>
      <w:r w:rsidRPr="00B63B88">
        <w:rPr>
          <w:rFonts w:ascii="Cambria Math" w:eastAsiaTheme="minorEastAsia" w:hAnsi="Cambria Math" w:cs="Cambria Math"/>
        </w:rPr>
        <w:t>𝒙</w:t>
      </w:r>
      <w:r w:rsidRPr="00B63B88">
        <w:rPr>
          <w:rFonts w:eastAsiaTheme="minorEastAsia"/>
        </w:rPr>
        <w:t>+</w:t>
      </w:r>
      <w:r w:rsidRPr="00B63B88">
        <w:rPr>
          <w:rFonts w:ascii="Cambria Math" w:eastAsiaTheme="minorEastAsia" w:hAnsi="Cambria Math" w:cs="Cambria Math"/>
        </w:rPr>
        <w:t>𝑻𝒙</w:t>
      </w:r>
      <w:r w:rsidRPr="00B63B88">
        <w:rPr>
          <w:rFonts w:eastAsiaTheme="minorEastAsia"/>
        </w:rPr>
        <w:t xml:space="preserve">t= </w:t>
      </w:r>
      <w:r w:rsidRPr="00B63B88">
        <w:rPr>
          <w:rFonts w:ascii="Cambria Math" w:eastAsiaTheme="minorEastAsia" w:hAnsi="Cambria Math" w:cs="Cambria Math"/>
        </w:rPr>
        <w:t>𝒕𝒑𝒙</w:t>
      </w:r>
      <w:r w:rsidRPr="00B63B88">
        <w:rPr>
          <w:rFonts w:eastAsiaTheme="minorEastAsia"/>
        </w:rPr>
        <w:t xml:space="preserve"> La probabil</w:t>
      </w:r>
      <w:r w:rsidR="009D5A81">
        <w:rPr>
          <w:rFonts w:eastAsiaTheme="minorEastAsia"/>
        </w:rPr>
        <w:t>i</w:t>
      </w:r>
      <w:r w:rsidRPr="00B63B88">
        <w:rPr>
          <w:rFonts w:eastAsiaTheme="minorEastAsia"/>
        </w:rPr>
        <w:t>té</w:t>
      </w:r>
      <w:r w:rsidR="009D5A81">
        <w:rPr>
          <w:rFonts w:eastAsiaTheme="minorEastAsia"/>
        </w:rPr>
        <w:t xml:space="preserve"> </w:t>
      </w:r>
      <w:r w:rsidRPr="00B63B88">
        <w:rPr>
          <w:rFonts w:eastAsiaTheme="minorEastAsia"/>
        </w:rPr>
        <w:t xml:space="preserve">de survie dans un an est notée en général </w:t>
      </w:r>
      <w:r w:rsidRPr="00B63B88">
        <w:rPr>
          <w:rFonts w:ascii="Cambria Math" w:eastAsiaTheme="minorEastAsia" w:hAnsi="Cambria Math" w:cs="Cambria Math"/>
        </w:rPr>
        <w:t>𝑝</w:t>
      </w:r>
      <w:r w:rsidRPr="00B63B88">
        <w:rPr>
          <w:rFonts w:ascii="Calibri" w:eastAsiaTheme="minorEastAsia" w:hAnsi="Calibri" w:cs="Calibri"/>
        </w:rPr>
        <w:t>�</w:t>
      </w:r>
    </w:p>
    <w:p w:rsidR="009D5A81" w:rsidRDefault="009D5A81" w:rsidP="001F70E2">
      <w:pPr>
        <w:rPr>
          <w:rFonts w:eastAsiaTheme="minorEastAsia"/>
        </w:rPr>
      </w:pPr>
      <w:r>
        <w:rPr>
          <w:rFonts w:eastAsiaTheme="minorEastAsia"/>
        </w:rPr>
        <w:t xml:space="preserve">La </w:t>
      </w:r>
      <w:r w:rsidRPr="009D5A81">
        <w:rPr>
          <w:rFonts w:eastAsiaTheme="minorEastAsia"/>
        </w:rPr>
        <w:t>Probabilité de décès</w:t>
      </w:r>
      <w:r>
        <w:rPr>
          <w:rFonts w:eastAsiaTheme="minorEastAsia"/>
        </w:rPr>
        <w:t> :</w:t>
      </w:r>
    </w:p>
    <w:p w:rsidR="009D5A81" w:rsidRDefault="009D5A81" w:rsidP="001F70E2">
      <w:pPr>
        <w:rPr>
          <w:rFonts w:eastAsiaTheme="minorEastAsia"/>
        </w:rPr>
      </w:pPr>
      <w:r w:rsidRPr="009D5A81">
        <w:rPr>
          <w:rFonts w:eastAsiaTheme="minorEastAsia"/>
        </w:rPr>
        <w:t xml:space="preserve">On notera </w:t>
      </w:r>
      <w:r w:rsidRPr="009D5A81">
        <w:rPr>
          <w:rFonts w:ascii="Cambria Math" w:eastAsiaTheme="minorEastAsia" w:hAnsi="Cambria Math" w:cs="Cambria Math"/>
        </w:rPr>
        <w:t>𝑞𝑥</w:t>
      </w:r>
      <w:r w:rsidRPr="009D5A81">
        <w:rPr>
          <w:rFonts w:eastAsiaTheme="minorEastAsia"/>
        </w:rPr>
        <w:t xml:space="preserve"> la probabilité de décès dans un an. </w:t>
      </w:r>
      <w:r w:rsidRPr="009D5A81">
        <w:rPr>
          <w:rFonts w:ascii="Cambria Math" w:eastAsiaTheme="minorEastAsia" w:hAnsi="Cambria Math" w:cs="Cambria Math"/>
        </w:rPr>
        <w:t>𝑝𝑥</w:t>
      </w:r>
      <w:r w:rsidRPr="009D5A81">
        <w:rPr>
          <w:rFonts w:eastAsiaTheme="minorEastAsia"/>
        </w:rPr>
        <w:t>+</w:t>
      </w:r>
      <w:r w:rsidRPr="009D5A81">
        <w:rPr>
          <w:rFonts w:ascii="Cambria Math" w:eastAsiaTheme="minorEastAsia" w:hAnsi="Cambria Math" w:cs="Cambria Math"/>
        </w:rPr>
        <w:t>𝑞𝑥</w:t>
      </w:r>
      <w:r w:rsidRPr="009D5A81">
        <w:rPr>
          <w:rFonts w:eastAsiaTheme="minorEastAsia"/>
        </w:rPr>
        <w:t>=1</w:t>
      </w:r>
    </w:p>
    <w:p w:rsidR="009D5A81" w:rsidRDefault="009D5A81" w:rsidP="001F70E2">
      <w:pPr>
        <w:rPr>
          <w:rFonts w:eastAsiaTheme="minorEastAsia"/>
        </w:rPr>
      </w:pPr>
    </w:p>
    <w:p w:rsidR="009D5A81" w:rsidRDefault="009D5A81" w:rsidP="001F70E2">
      <w:pPr>
        <w:rPr>
          <w:rFonts w:eastAsiaTheme="minorEastAsia"/>
        </w:rPr>
      </w:pPr>
      <w:r w:rsidRPr="009D5A81">
        <w:rPr>
          <w:rFonts w:eastAsiaTheme="minorEastAsia"/>
        </w:rPr>
        <w:t xml:space="preserve">On note </w:t>
      </w:r>
      <w:r w:rsidRPr="009D5A81">
        <w:rPr>
          <w:rFonts w:ascii="Cambria Math" w:eastAsiaTheme="minorEastAsia" w:hAnsi="Cambria Math" w:cs="Cambria Math"/>
        </w:rPr>
        <w:t>𝐿𝑥</w:t>
      </w:r>
      <w:r w:rsidRPr="009D5A81">
        <w:rPr>
          <w:rFonts w:eastAsiaTheme="minorEastAsia"/>
        </w:rPr>
        <w:t xml:space="preserve">un nombre de personne d’âge fixe x. On note pour chaque individu de </w:t>
      </w:r>
      <w:r w:rsidRPr="009D5A81">
        <w:rPr>
          <w:rFonts w:ascii="Cambria Math" w:eastAsiaTheme="minorEastAsia" w:hAnsi="Cambria Math" w:cs="Cambria Math"/>
        </w:rPr>
        <w:t>𝐿𝑥</w:t>
      </w:r>
      <w:r w:rsidRPr="009D5A81">
        <w:rPr>
          <w:rFonts w:eastAsiaTheme="minorEastAsia"/>
        </w:rPr>
        <w:t xml:space="preserve"> </w:t>
      </w:r>
      <w:r w:rsidRPr="009D5A81">
        <w:rPr>
          <w:rFonts w:ascii="Cambria Math" w:eastAsiaTheme="minorEastAsia" w:hAnsi="Cambria Math" w:cs="Cambria Math"/>
        </w:rPr>
        <w:t>𝑋𝑡</w:t>
      </w:r>
      <w:r w:rsidRPr="009D5A81">
        <w:rPr>
          <w:rFonts w:eastAsiaTheme="minorEastAsia"/>
        </w:rPr>
        <w:t>,</w:t>
      </w:r>
      <w:r w:rsidRPr="009D5A81">
        <w:rPr>
          <w:rFonts w:ascii="Cambria Math" w:eastAsiaTheme="minorEastAsia" w:hAnsi="Cambria Math" w:cs="Cambria Math"/>
        </w:rPr>
        <w:t>𝑘</w:t>
      </w:r>
      <w:r w:rsidRPr="009D5A81">
        <w:rPr>
          <w:rFonts w:eastAsiaTheme="minorEastAsia"/>
        </w:rPr>
        <w:t xml:space="preserve">= A l’époque t, le nombre de survivants du groupe initial composé de </w:t>
      </w:r>
      <w:r w:rsidRPr="009D5A81">
        <w:rPr>
          <w:rFonts w:ascii="Cambria Math" w:eastAsiaTheme="minorEastAsia" w:hAnsi="Cambria Math" w:cs="Cambria Math"/>
        </w:rPr>
        <w:t>𝐿𝑥</w:t>
      </w:r>
      <w:r w:rsidRPr="009D5A81">
        <w:rPr>
          <w:rFonts w:eastAsiaTheme="minorEastAsia"/>
        </w:rPr>
        <w:t xml:space="preserve"> individus est :</w:t>
      </w:r>
      <w:r w:rsidRPr="009D5A81">
        <w:rPr>
          <w:rFonts w:ascii="Cambria Math" w:eastAsiaTheme="minorEastAsia" w:hAnsi="Cambria Math" w:cs="Cambria Math"/>
        </w:rPr>
        <w:t>𝐿𝑥</w:t>
      </w:r>
      <w:r w:rsidRPr="009D5A81">
        <w:rPr>
          <w:rFonts w:eastAsiaTheme="minorEastAsia"/>
        </w:rPr>
        <w:t>+</w:t>
      </w:r>
      <w:r w:rsidRPr="009D5A81">
        <w:rPr>
          <w:rFonts w:ascii="Cambria Math" w:eastAsiaTheme="minorEastAsia" w:hAnsi="Cambria Math" w:cs="Cambria Math"/>
        </w:rPr>
        <w:t>𝑡</w:t>
      </w:r>
      <w:r w:rsidRPr="009D5A81">
        <w:rPr>
          <w:rFonts w:eastAsiaTheme="minorEastAsia"/>
        </w:rPr>
        <w:t>=σ</w:t>
      </w:r>
      <w:r w:rsidRPr="009D5A81">
        <w:rPr>
          <w:rFonts w:ascii="Cambria Math" w:eastAsiaTheme="minorEastAsia" w:hAnsi="Cambria Math" w:cs="Cambria Math"/>
        </w:rPr>
        <w:t>𝑘</w:t>
      </w:r>
      <w:r w:rsidRPr="009D5A81">
        <w:rPr>
          <w:rFonts w:eastAsiaTheme="minorEastAsia"/>
        </w:rPr>
        <w:t xml:space="preserve">=1 </w:t>
      </w:r>
      <w:r w:rsidRPr="009D5A81">
        <w:rPr>
          <w:rFonts w:ascii="Cambria Math" w:eastAsiaTheme="minorEastAsia" w:hAnsi="Cambria Math" w:cs="Cambria Math"/>
        </w:rPr>
        <w:t>𝐿𝑥</w:t>
      </w:r>
      <w:r w:rsidRPr="009D5A81">
        <w:rPr>
          <w:rFonts w:eastAsiaTheme="minorEastAsia"/>
        </w:rPr>
        <w:t xml:space="preserve"> </w:t>
      </w:r>
      <w:r w:rsidRPr="009D5A81">
        <w:rPr>
          <w:rFonts w:ascii="Cambria Math" w:eastAsiaTheme="minorEastAsia" w:hAnsi="Cambria Math" w:cs="Cambria Math"/>
        </w:rPr>
        <w:t>𝑋𝑡</w:t>
      </w:r>
      <w:r w:rsidRPr="009D5A81">
        <w:rPr>
          <w:rFonts w:eastAsiaTheme="minorEastAsia"/>
        </w:rPr>
        <w:t>,</w:t>
      </w:r>
      <w:r w:rsidRPr="009D5A81">
        <w:rPr>
          <w:rFonts w:ascii="Cambria Math" w:eastAsiaTheme="minorEastAsia" w:hAnsi="Cambria Math" w:cs="Cambria Math"/>
        </w:rPr>
        <w:t>𝑘</w:t>
      </w:r>
      <w:r w:rsidRPr="009D5A81">
        <w:rPr>
          <w:rFonts w:eastAsiaTheme="minorEastAsia"/>
        </w:rPr>
        <w:t xml:space="preserve"> On appelle nombre probable de vivants à l’âge x+t</w:t>
      </w:r>
      <w:r>
        <w:rPr>
          <w:rFonts w:eastAsiaTheme="minorEastAsia"/>
        </w:rPr>
        <w:t xml:space="preserve"> </w:t>
      </w:r>
      <w:r w:rsidRPr="009D5A81">
        <w:rPr>
          <w:rFonts w:eastAsiaTheme="minorEastAsia"/>
        </w:rPr>
        <w:t xml:space="preserve">et on le désigne par </w:t>
      </w:r>
      <w:r w:rsidRPr="009D5A81">
        <w:rPr>
          <w:rFonts w:ascii="Cambria Math" w:eastAsiaTheme="minorEastAsia" w:hAnsi="Cambria Math" w:cs="Cambria Math"/>
        </w:rPr>
        <w:t>𝒍𝒙</w:t>
      </w:r>
      <w:r w:rsidRPr="009D5A81">
        <w:rPr>
          <w:rFonts w:eastAsiaTheme="minorEastAsia"/>
        </w:rPr>
        <w:t>+</w:t>
      </w:r>
      <w:r w:rsidRPr="009D5A81">
        <w:rPr>
          <w:rFonts w:ascii="Cambria Math" w:eastAsiaTheme="minorEastAsia" w:hAnsi="Cambria Math" w:cs="Cambria Math"/>
        </w:rPr>
        <w:t>𝒕</w:t>
      </w:r>
      <w:r w:rsidRPr="009D5A81">
        <w:rPr>
          <w:rFonts w:eastAsiaTheme="minorEastAsia"/>
        </w:rPr>
        <w:t xml:space="preserve"> la quantité : </w:t>
      </w:r>
      <w:r w:rsidRPr="009D5A81">
        <w:rPr>
          <w:rFonts w:ascii="Cambria Math" w:eastAsiaTheme="minorEastAsia" w:hAnsi="Cambria Math" w:cs="Cambria Math"/>
        </w:rPr>
        <w:t>𝐸𝐿𝑥</w:t>
      </w:r>
      <w:r w:rsidRPr="009D5A81">
        <w:rPr>
          <w:rFonts w:eastAsiaTheme="minorEastAsia"/>
        </w:rPr>
        <w:t>+</w:t>
      </w:r>
      <w:r w:rsidRPr="009D5A81">
        <w:rPr>
          <w:rFonts w:ascii="Cambria Math" w:eastAsiaTheme="minorEastAsia" w:hAnsi="Cambria Math" w:cs="Cambria Math"/>
        </w:rPr>
        <w:t>𝑡</w:t>
      </w:r>
      <w:r w:rsidRPr="009D5A81">
        <w:rPr>
          <w:rFonts w:eastAsiaTheme="minorEastAsia"/>
        </w:rPr>
        <w:t xml:space="preserve"> =</w:t>
      </w:r>
      <w:r w:rsidRPr="009D5A81">
        <w:rPr>
          <w:rFonts w:ascii="Cambria Math" w:eastAsiaTheme="minorEastAsia" w:hAnsi="Cambria Math" w:cs="Cambria Math"/>
        </w:rPr>
        <w:t>𝐿𝑥∗</w:t>
      </w:r>
      <w:r w:rsidRPr="009D5A81">
        <w:rPr>
          <w:rFonts w:eastAsiaTheme="minorEastAsia"/>
        </w:rPr>
        <w:t xml:space="preserve"> </w:t>
      </w:r>
      <w:r w:rsidRPr="009D5A81">
        <w:rPr>
          <w:rFonts w:ascii="Cambria Math" w:eastAsiaTheme="minorEastAsia" w:hAnsi="Cambria Math" w:cs="Cambria Math"/>
        </w:rPr>
        <w:t>𝑡𝑝𝑥</w:t>
      </w:r>
      <w:r w:rsidRPr="009D5A81">
        <w:rPr>
          <w:rFonts w:eastAsiaTheme="minorEastAsia"/>
        </w:rPr>
        <w:t xml:space="preserve"> Lorsque t tend vers 0 on a ainsi : </w:t>
      </w:r>
      <w:r w:rsidRPr="009D5A81">
        <w:rPr>
          <w:rFonts w:ascii="Cambria Math" w:eastAsiaTheme="minorEastAsia" w:hAnsi="Cambria Math" w:cs="Cambria Math"/>
        </w:rPr>
        <w:t>𝑙𝑥</w:t>
      </w:r>
      <w:r w:rsidRPr="009D5A81">
        <w:rPr>
          <w:rFonts w:eastAsiaTheme="minorEastAsia"/>
        </w:rPr>
        <w:t>=E (</w:t>
      </w:r>
      <w:r w:rsidRPr="009D5A81">
        <w:rPr>
          <w:rFonts w:ascii="Cambria Math" w:eastAsiaTheme="minorEastAsia" w:hAnsi="Cambria Math" w:cs="Cambria Math"/>
        </w:rPr>
        <w:t>𝐿𝑥</w:t>
      </w:r>
      <w:r w:rsidRPr="009D5A81">
        <w:rPr>
          <w:rFonts w:eastAsiaTheme="minorEastAsia"/>
        </w:rPr>
        <w:t xml:space="preserve">)= </w:t>
      </w:r>
      <w:r w:rsidRPr="009D5A81">
        <w:rPr>
          <w:rFonts w:ascii="Cambria Math" w:eastAsiaTheme="minorEastAsia" w:hAnsi="Cambria Math" w:cs="Cambria Math"/>
        </w:rPr>
        <w:t>𝐿𝑥</w:t>
      </w:r>
      <w:r w:rsidRPr="009D5A81">
        <w:rPr>
          <w:rFonts w:eastAsiaTheme="minorEastAsia"/>
        </w:rPr>
        <w:t xml:space="preserve"> </w:t>
      </w:r>
      <w:r w:rsidRPr="009D5A81">
        <w:rPr>
          <w:rFonts w:eastAsiaTheme="minorEastAsia"/>
        </w:rPr>
        <w:sym w:font="Symbol" w:char="F0D8"/>
      </w:r>
      <w:r w:rsidRPr="009D5A81">
        <w:rPr>
          <w:rFonts w:eastAsiaTheme="minorEastAsia"/>
        </w:rPr>
        <w:t xml:space="preserve">Définition table de mortalité Une table de mortalité est une suite de nombre décroissant dans laquelle pour chaque âge x, on met le </w:t>
      </w:r>
      <w:r w:rsidRPr="009D5A81">
        <w:rPr>
          <w:rFonts w:ascii="Cambria Math" w:eastAsiaTheme="minorEastAsia" w:hAnsi="Cambria Math" w:cs="Cambria Math"/>
        </w:rPr>
        <w:t>𝑙𝑥</w:t>
      </w:r>
      <w:r w:rsidRPr="009D5A81">
        <w:rPr>
          <w:rFonts w:eastAsiaTheme="minorEastAsia"/>
        </w:rPr>
        <w:t xml:space="preserve"> </w:t>
      </w:r>
    </w:p>
    <w:p w:rsidR="009D5A81" w:rsidRDefault="009D5A81" w:rsidP="001F70E2">
      <w:pPr>
        <w:rPr>
          <w:rFonts w:eastAsiaTheme="minorEastAsia"/>
        </w:rPr>
      </w:pPr>
      <w:r w:rsidRPr="009D5A81">
        <w:rPr>
          <w:rFonts w:eastAsiaTheme="minorEastAsia"/>
        </w:rPr>
        <w:t xml:space="preserve">Table de mortalité </w:t>
      </w:r>
    </w:p>
    <w:p w:rsidR="009D5A81" w:rsidRPr="001F70E2" w:rsidRDefault="009D5A81" w:rsidP="001F70E2">
      <w:pPr>
        <w:rPr>
          <w:rFonts w:eastAsiaTheme="minorEastAsia"/>
          <w:lang w:val="fr-SN"/>
        </w:rPr>
      </w:pPr>
      <w:r w:rsidRPr="009D5A81">
        <w:rPr>
          <w:rFonts w:eastAsiaTheme="minorEastAsia"/>
        </w:rPr>
        <w:t xml:space="preserve">Notion de valeur actuelle probable Pour rappel le principe de l’Assureur est de mutualiser les risques Objectif: avoir une prévision de ses charges Dans sa tarification l’Assureur doit s’assurer que son résultat est &gt;=0. On notera R le résultat .Pour un flux à une date donnée la notion de valeur actuelle probable est définie comme suit </w:t>
      </w:r>
      <w:r w:rsidRPr="009D5A81">
        <w:rPr>
          <w:rFonts w:ascii="Cambria Math" w:eastAsiaTheme="minorEastAsia" w:hAnsi="Cambria Math" w:cs="Cambria Math"/>
        </w:rPr>
        <w:t>𝑉𝐴𝑃𝑡𝑜𝑋𝑡</w:t>
      </w:r>
      <w:r w:rsidRPr="009D5A81">
        <w:rPr>
          <w:rFonts w:eastAsiaTheme="minorEastAsia"/>
        </w:rPr>
        <w:t>1 =</w:t>
      </w:r>
      <w:r w:rsidRPr="009D5A81">
        <w:rPr>
          <w:rFonts w:ascii="Cambria Math" w:eastAsiaTheme="minorEastAsia" w:hAnsi="Cambria Math" w:cs="Cambria Math"/>
        </w:rPr>
        <w:t>𝐸𝑡</w:t>
      </w:r>
      <w:r w:rsidRPr="009D5A81">
        <w:rPr>
          <w:rFonts w:eastAsiaTheme="minorEastAsia"/>
        </w:rPr>
        <w:t>0</w:t>
      </w:r>
      <w:r w:rsidRPr="009D5A81">
        <w:rPr>
          <w:rFonts w:ascii="Cambria Math" w:eastAsiaTheme="minorEastAsia" w:hAnsi="Cambria Math" w:cs="Cambria Math"/>
        </w:rPr>
        <w:t>𝑋𝑡</w:t>
      </w:r>
      <w:r w:rsidRPr="009D5A81">
        <w:rPr>
          <w:rFonts w:eastAsiaTheme="minorEastAsia"/>
        </w:rPr>
        <w:t xml:space="preserve">1 </w:t>
      </w:r>
      <w:r w:rsidRPr="009D5A81">
        <w:rPr>
          <w:rFonts w:ascii="Cambria Math" w:eastAsiaTheme="minorEastAsia" w:hAnsi="Cambria Math" w:cs="Cambria Math"/>
        </w:rPr>
        <w:t>∗</w:t>
      </w:r>
      <w:r w:rsidRPr="009D5A81">
        <w:rPr>
          <w:rFonts w:eastAsiaTheme="minorEastAsia"/>
        </w:rPr>
        <w:t xml:space="preserve"> 1 (1+</w:t>
      </w:r>
      <w:r w:rsidRPr="009D5A81">
        <w:rPr>
          <w:rFonts w:ascii="Cambria Math" w:eastAsiaTheme="minorEastAsia" w:hAnsi="Cambria Math" w:cs="Cambria Math"/>
        </w:rPr>
        <w:t>𝑖</w:t>
      </w:r>
      <w:r w:rsidRPr="009D5A81">
        <w:rPr>
          <w:rFonts w:eastAsiaTheme="minorEastAsia"/>
        </w:rPr>
        <w:t>)(</w:t>
      </w:r>
      <w:r w:rsidRPr="009D5A81">
        <w:rPr>
          <w:rFonts w:ascii="Cambria Math" w:eastAsiaTheme="minorEastAsia" w:hAnsi="Cambria Math" w:cs="Cambria Math"/>
        </w:rPr>
        <w:t>𝑡</w:t>
      </w:r>
      <w:r w:rsidRPr="009D5A81">
        <w:rPr>
          <w:rFonts w:eastAsiaTheme="minorEastAsia"/>
        </w:rPr>
        <w:t>1−</w:t>
      </w:r>
      <w:r w:rsidRPr="009D5A81">
        <w:rPr>
          <w:rFonts w:ascii="Cambria Math" w:eastAsiaTheme="minorEastAsia" w:hAnsi="Cambria Math" w:cs="Cambria Math"/>
        </w:rPr>
        <w:t>𝑡</w:t>
      </w:r>
      <w:r w:rsidRPr="009D5A81">
        <w:rPr>
          <w:rFonts w:eastAsiaTheme="minorEastAsia"/>
        </w:rPr>
        <w:t xml:space="preserve">0) </w:t>
      </w:r>
    </w:p>
    <w:sectPr w:rsidR="009D5A81" w:rsidRPr="001F70E2" w:rsidSect="00AF2B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03A7D"/>
    <w:multiLevelType w:val="hybridMultilevel"/>
    <w:tmpl w:val="F77E5B68"/>
    <w:lvl w:ilvl="0" w:tplc="104485F2">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30015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BE5"/>
    <w:rsid w:val="00195652"/>
    <w:rsid w:val="001F70E2"/>
    <w:rsid w:val="00324C00"/>
    <w:rsid w:val="009D5A81"/>
    <w:rsid w:val="00AF2BE5"/>
    <w:rsid w:val="00B63B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8642B"/>
  <w15:chartTrackingRefBased/>
  <w15:docId w15:val="{A5621C82-8A93-4B4C-AC99-5A7FEA836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F2B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F2B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F2BE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F2BE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F2BE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F2BE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F2BE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F2BE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F2BE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2BE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F2BE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F2BE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F2BE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F2BE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F2BE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F2BE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F2BE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F2BE5"/>
    <w:rPr>
      <w:rFonts w:eastAsiaTheme="majorEastAsia" w:cstheme="majorBidi"/>
      <w:color w:val="272727" w:themeColor="text1" w:themeTint="D8"/>
    </w:rPr>
  </w:style>
  <w:style w:type="paragraph" w:styleId="Titre">
    <w:name w:val="Title"/>
    <w:basedOn w:val="Normal"/>
    <w:next w:val="Normal"/>
    <w:link w:val="TitreCar"/>
    <w:uiPriority w:val="10"/>
    <w:qFormat/>
    <w:rsid w:val="00AF2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F2BE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F2BE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F2BE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F2BE5"/>
    <w:pPr>
      <w:spacing w:before="160"/>
      <w:jc w:val="center"/>
    </w:pPr>
    <w:rPr>
      <w:i/>
      <w:iCs/>
      <w:color w:val="404040" w:themeColor="text1" w:themeTint="BF"/>
    </w:rPr>
  </w:style>
  <w:style w:type="character" w:customStyle="1" w:styleId="CitationCar">
    <w:name w:val="Citation Car"/>
    <w:basedOn w:val="Policepardfaut"/>
    <w:link w:val="Citation"/>
    <w:uiPriority w:val="29"/>
    <w:rsid w:val="00AF2BE5"/>
    <w:rPr>
      <w:i/>
      <w:iCs/>
      <w:color w:val="404040" w:themeColor="text1" w:themeTint="BF"/>
    </w:rPr>
  </w:style>
  <w:style w:type="paragraph" w:styleId="Paragraphedeliste">
    <w:name w:val="List Paragraph"/>
    <w:basedOn w:val="Normal"/>
    <w:uiPriority w:val="34"/>
    <w:qFormat/>
    <w:rsid w:val="00AF2BE5"/>
    <w:pPr>
      <w:ind w:left="720"/>
      <w:contextualSpacing/>
    </w:pPr>
  </w:style>
  <w:style w:type="character" w:styleId="Accentuationintense">
    <w:name w:val="Intense Emphasis"/>
    <w:basedOn w:val="Policepardfaut"/>
    <w:uiPriority w:val="21"/>
    <w:qFormat/>
    <w:rsid w:val="00AF2BE5"/>
    <w:rPr>
      <w:i/>
      <w:iCs/>
      <w:color w:val="2F5496" w:themeColor="accent1" w:themeShade="BF"/>
    </w:rPr>
  </w:style>
  <w:style w:type="paragraph" w:styleId="Citationintense">
    <w:name w:val="Intense Quote"/>
    <w:basedOn w:val="Normal"/>
    <w:next w:val="Normal"/>
    <w:link w:val="CitationintenseCar"/>
    <w:uiPriority w:val="30"/>
    <w:qFormat/>
    <w:rsid w:val="00AF2B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F2BE5"/>
    <w:rPr>
      <w:i/>
      <w:iCs/>
      <w:color w:val="2F5496" w:themeColor="accent1" w:themeShade="BF"/>
    </w:rPr>
  </w:style>
  <w:style w:type="character" w:styleId="Rfrenceintense">
    <w:name w:val="Intense Reference"/>
    <w:basedOn w:val="Policepardfaut"/>
    <w:uiPriority w:val="32"/>
    <w:qFormat/>
    <w:rsid w:val="00AF2BE5"/>
    <w:rPr>
      <w:b/>
      <w:bCs/>
      <w:smallCaps/>
      <w:color w:val="2F5496" w:themeColor="accent1" w:themeShade="BF"/>
      <w:spacing w:val="5"/>
    </w:rPr>
  </w:style>
  <w:style w:type="character" w:styleId="Textedelespacerserv">
    <w:name w:val="Placeholder Text"/>
    <w:basedOn w:val="Policepardfaut"/>
    <w:uiPriority w:val="99"/>
    <w:semiHidden/>
    <w:rsid w:val="00AF2BE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775</Words>
  <Characters>4267</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 rachid traore</dc:creator>
  <cp:keywords/>
  <dc:description/>
  <cp:lastModifiedBy>sie rachid traore</cp:lastModifiedBy>
  <cp:revision>3</cp:revision>
  <dcterms:created xsi:type="dcterms:W3CDTF">2026-02-13T14:49:00Z</dcterms:created>
  <dcterms:modified xsi:type="dcterms:W3CDTF">2026-02-13T15:28:00Z</dcterms:modified>
</cp:coreProperties>
</file>