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9964" w14:textId="6326AC40" w:rsidR="005F5DC5" w:rsidRPr="005F5DC5" w:rsidRDefault="005F5DC5" w:rsidP="005F5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SN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"/>
        <w:gridCol w:w="882"/>
        <w:gridCol w:w="1871"/>
        <w:gridCol w:w="5853"/>
      </w:tblGrid>
      <w:tr w:rsidR="005F5DC5" w:rsidRPr="005F5DC5" w14:paraId="4C55F5A8" w14:textId="77777777" w:rsidTr="005F5DC5">
        <w:tc>
          <w:tcPr>
            <w:tcW w:w="0" w:type="auto"/>
            <w:hideMark/>
          </w:tcPr>
          <w:p w14:paraId="46BF864B" w14:textId="77777777" w:rsidR="005F5DC5" w:rsidRPr="005F5DC5" w:rsidRDefault="005F5DC5" w:rsidP="005F5DC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C8FB38D" w14:textId="77777777" w:rsidR="005F5DC5" w:rsidRPr="005F5DC5" w:rsidRDefault="005F5DC5" w:rsidP="005F5DC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Page</w:t>
            </w:r>
          </w:p>
        </w:tc>
        <w:tc>
          <w:tcPr>
            <w:tcW w:w="0" w:type="auto"/>
            <w:hideMark/>
          </w:tcPr>
          <w:p w14:paraId="6FE80CEC" w14:textId="77777777" w:rsidR="005F5DC5" w:rsidRPr="005F5DC5" w:rsidRDefault="005F5DC5" w:rsidP="005F5DC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Localisation</w:t>
            </w:r>
          </w:p>
        </w:tc>
        <w:tc>
          <w:tcPr>
            <w:tcW w:w="0" w:type="auto"/>
            <w:hideMark/>
          </w:tcPr>
          <w:p w14:paraId="3444BEBC" w14:textId="77777777" w:rsidR="005F5DC5" w:rsidRPr="005F5DC5" w:rsidRDefault="005F5DC5" w:rsidP="005F5DC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Erreur</w:t>
            </w:r>
          </w:p>
        </w:tc>
      </w:tr>
      <w:tr w:rsidR="005F5DC5" w:rsidRPr="005F5DC5" w14:paraId="04E27D7B" w14:textId="77777777" w:rsidTr="005F5DC5">
        <w:tc>
          <w:tcPr>
            <w:tcW w:w="0" w:type="auto"/>
            <w:hideMark/>
          </w:tcPr>
          <w:p w14:paraId="18BE1330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EF2D428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p.10</w:t>
            </w:r>
          </w:p>
        </w:tc>
        <w:tc>
          <w:tcPr>
            <w:tcW w:w="0" w:type="auto"/>
            <w:hideMark/>
          </w:tcPr>
          <w:p w14:paraId="54C1D37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4</w:t>
            </w:r>
          </w:p>
        </w:tc>
        <w:tc>
          <w:tcPr>
            <w:tcW w:w="0" w:type="auto"/>
            <w:hideMark/>
          </w:tcPr>
          <w:p w14:paraId="2AD9E993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L'année 2024 est absente alors que le titre annonce 2020–2024 ; le total (11,9815 t) ne couvre donc que 4 années</w:t>
            </w:r>
          </w:p>
        </w:tc>
      </w:tr>
      <w:tr w:rsidR="005F5DC5" w:rsidRPr="005F5DC5" w14:paraId="230F3080" w14:textId="77777777" w:rsidTr="005F5DC5">
        <w:tc>
          <w:tcPr>
            <w:tcW w:w="0" w:type="auto"/>
            <w:hideMark/>
          </w:tcPr>
          <w:p w14:paraId="7FF47953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0DF5458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p.10</w:t>
            </w:r>
          </w:p>
        </w:tc>
        <w:tc>
          <w:tcPr>
            <w:tcW w:w="0" w:type="auto"/>
            <w:hideMark/>
          </w:tcPr>
          <w:p w14:paraId="72B3A316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4</w:t>
            </w:r>
          </w:p>
        </w:tc>
        <w:tc>
          <w:tcPr>
            <w:tcW w:w="0" w:type="auto"/>
            <w:hideMark/>
          </w:tcPr>
          <w:p w14:paraId="70846B2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La somme 2,1189 + 2,6259 + 3,2155 + 4,0213 = 11,9816 t ≠ 11,9815 t affiché — erreur d'arrondi</w:t>
            </w:r>
          </w:p>
        </w:tc>
      </w:tr>
      <w:tr w:rsidR="005F5DC5" w:rsidRPr="005F5DC5" w14:paraId="16BEE3BB" w14:textId="77777777" w:rsidTr="005F5DC5">
        <w:tc>
          <w:tcPr>
            <w:tcW w:w="0" w:type="auto"/>
            <w:hideMark/>
          </w:tcPr>
          <w:p w14:paraId="18C4720C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357FE2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p.10</w:t>
            </w:r>
          </w:p>
        </w:tc>
        <w:tc>
          <w:tcPr>
            <w:tcW w:w="0" w:type="auto"/>
            <w:hideMark/>
          </w:tcPr>
          <w:p w14:paraId="21BD855E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4 vs Tableau 9</w:t>
            </w:r>
          </w:p>
        </w:tc>
        <w:tc>
          <w:tcPr>
            <w:tcW w:w="0" w:type="auto"/>
            <w:hideMark/>
          </w:tcPr>
          <w:p w14:paraId="7EB23C43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Total EAU affiché à 11,9815 t (Tableau 4) contre 11,976 t (Tableau 9) — divergence non expliquée entre deux tableaux du même rapport</w:t>
            </w:r>
          </w:p>
        </w:tc>
      </w:tr>
      <w:tr w:rsidR="005F5DC5" w:rsidRPr="005F5DC5" w14:paraId="7BFF7E96" w14:textId="77777777" w:rsidTr="005F5DC5">
        <w:tc>
          <w:tcPr>
            <w:tcW w:w="0" w:type="auto"/>
            <w:hideMark/>
          </w:tcPr>
          <w:p w14:paraId="34334D7C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F304BA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p.14</w:t>
            </w:r>
          </w:p>
        </w:tc>
        <w:tc>
          <w:tcPr>
            <w:tcW w:w="0" w:type="auto"/>
            <w:hideMark/>
          </w:tcPr>
          <w:p w14:paraId="6AD291E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5 — Recettes fiscales</w:t>
            </w:r>
          </w:p>
        </w:tc>
        <w:tc>
          <w:tcPr>
            <w:tcW w:w="0" w:type="auto"/>
            <w:hideMark/>
          </w:tcPr>
          <w:p w14:paraId="2B33C453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Taux utilisé pour estimer la base imposable : 3 % ; taux appliqué dans les calculs du Tableau 10 : 5 % — contradiction directe entre deux sections</w:t>
            </w:r>
          </w:p>
        </w:tc>
      </w:tr>
      <w:tr w:rsidR="005F5DC5" w:rsidRPr="005F5DC5" w14:paraId="33D8D8D0" w14:textId="77777777" w:rsidTr="005F5DC5">
        <w:tc>
          <w:tcPr>
            <w:tcW w:w="0" w:type="auto"/>
            <w:hideMark/>
          </w:tcPr>
          <w:p w14:paraId="13A849EA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A284E9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p.5</w:t>
            </w:r>
          </w:p>
        </w:tc>
        <w:tc>
          <w:tcPr>
            <w:tcW w:w="0" w:type="auto"/>
            <w:hideMark/>
          </w:tcPr>
          <w:p w14:paraId="375B62ED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Résumé exécutif</w:t>
            </w:r>
          </w:p>
        </w:tc>
        <w:tc>
          <w:tcPr>
            <w:tcW w:w="0" w:type="auto"/>
            <w:hideMark/>
          </w:tcPr>
          <w:p w14:paraId="47EEEBCC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Il est écrit « 150 autorisations actives » alors que le Tableau 1 indique 96 AMSM actives sur 150 au total — confusion entre total et actives</w:t>
            </w:r>
          </w:p>
        </w:tc>
      </w:tr>
      <w:tr w:rsidR="005F5DC5" w:rsidRPr="005F5DC5" w14:paraId="5E54B22A" w14:textId="77777777" w:rsidTr="005F5DC5">
        <w:tc>
          <w:tcPr>
            <w:tcW w:w="445" w:type="dxa"/>
            <w:hideMark/>
          </w:tcPr>
          <w:p w14:paraId="277A1751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9</w:t>
            </w:r>
          </w:p>
        </w:tc>
        <w:tc>
          <w:tcPr>
            <w:tcW w:w="882" w:type="dxa"/>
            <w:hideMark/>
          </w:tcPr>
          <w:p w14:paraId="11DD5738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p.9</w:t>
            </w:r>
          </w:p>
        </w:tc>
        <w:tc>
          <w:tcPr>
            <w:tcW w:w="0" w:type="auto"/>
            <w:hideMark/>
          </w:tcPr>
          <w:p w14:paraId="7367BC2F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Section 1.4</w:t>
            </w:r>
          </w:p>
        </w:tc>
        <w:tc>
          <w:tcPr>
            <w:tcW w:w="0" w:type="auto"/>
            <w:hideMark/>
          </w:tcPr>
          <w:p w14:paraId="6DAB43CB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Le décret cité pour la suspension 2025 est n° 2024-1502, même numéro que le décret de 2014 cité en section 1.3 — numérotation suspecte ou erreur de saisie</w:t>
            </w:r>
          </w:p>
        </w:tc>
      </w:tr>
      <w:tr w:rsidR="005F5DC5" w:rsidRPr="005F5DC5" w14:paraId="2EDC0414" w14:textId="77777777" w:rsidTr="005F5DC5">
        <w:tc>
          <w:tcPr>
            <w:tcW w:w="445" w:type="dxa"/>
            <w:hideMark/>
          </w:tcPr>
          <w:p w14:paraId="7243D2FE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10</w:t>
            </w:r>
          </w:p>
        </w:tc>
        <w:tc>
          <w:tcPr>
            <w:tcW w:w="882" w:type="dxa"/>
            <w:hideMark/>
          </w:tcPr>
          <w:p w14:paraId="2F023D08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p.21</w:t>
            </w:r>
          </w:p>
        </w:tc>
        <w:tc>
          <w:tcPr>
            <w:tcW w:w="0" w:type="auto"/>
            <w:hideMark/>
          </w:tcPr>
          <w:p w14:paraId="03EC1EF9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9 — Australie</w:t>
            </w:r>
          </w:p>
        </w:tc>
        <w:tc>
          <w:tcPr>
            <w:tcW w:w="0" w:type="auto"/>
            <w:hideMark/>
          </w:tcPr>
          <w:p w14:paraId="146CD960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 xml:space="preserve">Écart cumulé négatif (−1,344 t) : les exportations ITIE sont supérieures aux imports </w:t>
            </w:r>
            <w:proofErr w:type="spellStart"/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Comtrade</w:t>
            </w:r>
            <w:proofErr w:type="spellEnd"/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, ce qui est analytiquement incohérent et n'est nulle part expliqué dans le rapport</w:t>
            </w:r>
          </w:p>
        </w:tc>
      </w:tr>
      <w:tr w:rsidR="005F5DC5" w:rsidRPr="005F5DC5" w14:paraId="64CEEE31" w14:textId="77777777" w:rsidTr="005F5DC5">
        <w:tc>
          <w:tcPr>
            <w:tcW w:w="445" w:type="dxa"/>
            <w:hideMark/>
          </w:tcPr>
          <w:p w14:paraId="499542B0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11</w:t>
            </w:r>
          </w:p>
        </w:tc>
        <w:tc>
          <w:tcPr>
            <w:tcW w:w="882" w:type="dxa"/>
            <w:hideMark/>
          </w:tcPr>
          <w:p w14:paraId="7E2C4874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p.20</w:t>
            </w:r>
          </w:p>
        </w:tc>
        <w:tc>
          <w:tcPr>
            <w:tcW w:w="0" w:type="auto"/>
            <w:hideMark/>
          </w:tcPr>
          <w:p w14:paraId="03E48746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Figure 1</w:t>
            </w:r>
          </w:p>
        </w:tc>
        <w:tc>
          <w:tcPr>
            <w:tcW w:w="0" w:type="auto"/>
            <w:hideMark/>
          </w:tcPr>
          <w:p w14:paraId="71264917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Les valeurs du graphique sont arrondies à 1 décimale (ex. 24,9 ; 12,4) alors que les tableaux utilisent 3 décimales — manque de cohérence de présentation</w:t>
            </w:r>
          </w:p>
        </w:tc>
      </w:tr>
      <w:tr w:rsidR="005F5DC5" w:rsidRPr="005F5DC5" w14:paraId="50D8DF8D" w14:textId="77777777" w:rsidTr="005F5DC5">
        <w:tc>
          <w:tcPr>
            <w:tcW w:w="445" w:type="dxa"/>
            <w:hideMark/>
          </w:tcPr>
          <w:p w14:paraId="7194AAEF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12</w:t>
            </w:r>
          </w:p>
        </w:tc>
        <w:tc>
          <w:tcPr>
            <w:tcW w:w="882" w:type="dxa"/>
            <w:hideMark/>
          </w:tcPr>
          <w:p w14:paraId="6F6E8A8F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p.20</w:t>
            </w:r>
          </w:p>
        </w:tc>
        <w:tc>
          <w:tcPr>
            <w:tcW w:w="0" w:type="auto"/>
            <w:hideMark/>
          </w:tcPr>
          <w:p w14:paraId="7EC673FA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Tableau 8</w:t>
            </w:r>
          </w:p>
        </w:tc>
        <w:tc>
          <w:tcPr>
            <w:tcW w:w="0" w:type="auto"/>
            <w:hideMark/>
          </w:tcPr>
          <w:p w14:paraId="1E5C2A8B" w14:textId="77777777" w:rsidR="005F5DC5" w:rsidRPr="005F5DC5" w:rsidRDefault="005F5DC5" w:rsidP="005F5DC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</w:pPr>
            <w:r w:rsidRPr="005F5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SN"/>
                <w14:ligatures w14:val="none"/>
              </w:rPr>
              <w:t>La mention « Sources : … » apparaît deux fois consécutives — doublon inutile</w:t>
            </w:r>
          </w:p>
        </w:tc>
      </w:tr>
    </w:tbl>
    <w:p w14:paraId="0AB87332" w14:textId="77777777" w:rsidR="00633716" w:rsidRDefault="00633716"/>
    <w:sectPr w:rsidR="00633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C5"/>
    <w:rsid w:val="00316897"/>
    <w:rsid w:val="005F5DC5"/>
    <w:rsid w:val="00633716"/>
    <w:rsid w:val="00A03650"/>
    <w:rsid w:val="00A43051"/>
    <w:rsid w:val="00D2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5482A"/>
  <w15:chartTrackingRefBased/>
  <w15:docId w15:val="{A459457B-2BE2-4240-A49E-1E165EED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F5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S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F5DC5"/>
    <w:rPr>
      <w:rFonts w:ascii="Times New Roman" w:eastAsia="Times New Roman" w:hAnsi="Times New Roman" w:cs="Times New Roman"/>
      <w:b/>
      <w:bCs/>
      <w:kern w:val="0"/>
      <w:sz w:val="36"/>
      <w:szCs w:val="36"/>
      <w:lang w:eastAsia="fr-S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SN"/>
      <w14:ligatures w14:val="none"/>
    </w:rPr>
  </w:style>
  <w:style w:type="character" w:styleId="lev">
    <w:name w:val="Strong"/>
    <w:basedOn w:val="Policepardfaut"/>
    <w:uiPriority w:val="22"/>
    <w:qFormat/>
    <w:rsid w:val="005F5DC5"/>
    <w:rPr>
      <w:b/>
      <w:bCs/>
    </w:rPr>
  </w:style>
  <w:style w:type="table" w:styleId="Grilledutableau">
    <w:name w:val="Table Grid"/>
    <w:basedOn w:val="TableauNormal"/>
    <w:uiPriority w:val="39"/>
    <w:rsid w:val="005F5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8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</cp:revision>
  <dcterms:created xsi:type="dcterms:W3CDTF">2026-05-20T13:40:00Z</dcterms:created>
  <dcterms:modified xsi:type="dcterms:W3CDTF">2026-05-20T13:46:00Z</dcterms:modified>
</cp:coreProperties>
</file>