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E6CD19" w14:textId="5424CB9F" w:rsidR="006F28C4" w:rsidRDefault="006F28C4" w:rsidP="00B03B29">
      <w:r>
        <w:t>E</w:t>
      </w:r>
      <w:r w:rsidRPr="006F28C4">
        <w:t>stimations de la production d’or d’EMAPE</w:t>
      </w:r>
      <w:r>
        <w:t xml:space="preserve"> au Sénégal</w:t>
      </w:r>
      <w:r w:rsidR="00FE59D0">
        <w:t> : une approche par analyse des données miroir</w:t>
      </w:r>
    </w:p>
    <w:p w14:paraId="22A47645" w14:textId="77777777" w:rsidR="00FE59D0" w:rsidRDefault="00FE59D0" w:rsidP="00B03B29"/>
    <w:p w14:paraId="0E922B23" w14:textId="5263E220" w:rsidR="00726001" w:rsidRDefault="00B03B29" w:rsidP="00B03B29">
      <w:r>
        <w:t>Revue de littérature</w:t>
      </w:r>
    </w:p>
    <w:p w14:paraId="22F1D1A1" w14:textId="35A65811" w:rsidR="00B03B29" w:rsidRDefault="00B03B29" w:rsidP="00B03B29">
      <w:r>
        <w:t>1. Sur la piste de l’or africain</w:t>
      </w:r>
    </w:p>
    <w:p w14:paraId="3222E74F" w14:textId="749B1EE0" w:rsidR="00B03B29" w:rsidRDefault="00B03B29" w:rsidP="00B03B29">
      <w:r>
        <w:t xml:space="preserve">30.5.2024 | Selon une nouvelle étude, entre 321 et 474 tonnes d’or artisanal sont produites chaque année en Afrique sans être déclarées, et au moins 435 tonnes d’or ont été exportées en contrebande du continent africain rien qu’en 2022. Des chiffres conséquents qui représentent un manque à gagner de taille pour de nombreux États africains. Ce manque de contrôle étatique reflète d’autres </w:t>
      </w:r>
      <w:r>
        <w:t>problèmes :</w:t>
      </w:r>
      <w:r>
        <w:t xml:space="preserve"> corruption, financement de conflits armés ou violation des droits humains.</w:t>
      </w:r>
    </w:p>
    <w:p w14:paraId="0010A1FC" w14:textId="77777777" w:rsidR="00B03B29" w:rsidRDefault="00B03B29" w:rsidP="00B03B29">
      <w:r>
        <w:t>Retracer le parcours de l’or de son extraction à son utilisation finale n’est pas chose aisée. Après avoir été extrait, le métal précieux sera tour à tour vendu, transporté, traité, exporté, retraité puis revendu. Le tout souvent en passant par les mains de nombreuses personnes, dans différents pays. Une grande partie du commerce de l’or est opaque.</w:t>
      </w:r>
    </w:p>
    <w:p w14:paraId="3CCF65D3" w14:textId="33DC8F6D" w:rsidR="00B03B29" w:rsidRDefault="00B03B29">
      <w:r>
        <w:t xml:space="preserve">C’est à cette opacité que se sont attaqués Marc Ummel et Yvan Schulz, responsables du dossier matières premières chez SWISSAID, dans une nouvelle étude sur l’or africain. Afin de suivre la piste du métal précieux, </w:t>
      </w:r>
      <w:r>
        <w:rPr>
          <w:rStyle w:val="lev"/>
        </w:rPr>
        <w:t>ils ont quantifié la production et le commerce de l’or, déclarés et non déclarés, pour l’ensemble des 54 pays d’Afrique sur une période de plus de dix ans</w:t>
      </w:r>
      <w:r>
        <w:t>.</w:t>
      </w:r>
    </w:p>
    <w:p w14:paraId="790E5AA8" w14:textId="7EB37088" w:rsidR="00B03B29" w:rsidRPr="00B03B29" w:rsidRDefault="00B03B29" w:rsidP="00B03B29">
      <w:pPr>
        <w:pStyle w:val="Paragraphedeliste"/>
        <w:numPr>
          <w:ilvl w:val="0"/>
          <w:numId w:val="1"/>
        </w:numPr>
        <w:spacing w:line="259" w:lineRule="auto"/>
        <w:rPr>
          <w:rFonts w:asciiTheme="minorHAnsi" w:hAnsiTheme="minorHAnsi"/>
          <w:sz w:val="22"/>
          <w:lang w:eastAsia="fr-FR"/>
        </w:rPr>
      </w:pPr>
      <w:r w:rsidRPr="00B03B29">
        <w:rPr>
          <w:lang w:eastAsia="fr-FR"/>
        </w:rPr>
        <w:t>Jusqu'à 32 mrd CHF</w:t>
      </w:r>
      <w:r>
        <w:rPr>
          <w:lang w:eastAsia="fr-FR"/>
        </w:rPr>
        <w:t xml:space="preserve"> </w:t>
      </w:r>
      <w:r w:rsidRPr="00B03B29">
        <w:rPr>
          <w:rFonts w:eastAsia="Times New Roman" w:cs="Times New Roman"/>
          <w:szCs w:val="24"/>
          <w:lang w:eastAsia="fr-FR"/>
        </w:rPr>
        <w:t>l’équivalent de 474 tonnes d’or issu de l’extraction minière artisanale et à petite échelle, ne sont pas déclarés à la production en Afrique. Un manque à gagner pour les États africains.</w:t>
      </w:r>
    </w:p>
    <w:p w14:paraId="36B8CD8D" w14:textId="53F583DA" w:rsidR="00B03B29" w:rsidRPr="00B03B29" w:rsidRDefault="00B03B29" w:rsidP="00B03B29">
      <w:pPr>
        <w:spacing w:after="0" w:line="240" w:lineRule="auto"/>
        <w:rPr>
          <w:rFonts w:eastAsia="Times New Roman" w:cs="Times New Roman"/>
          <w:szCs w:val="24"/>
          <w:lang w:eastAsia="fr-FR"/>
        </w:rPr>
      </w:pPr>
    </w:p>
    <w:p w14:paraId="5AA860A8" w14:textId="42EE1833" w:rsidR="00B03B29" w:rsidRPr="00B03B29" w:rsidRDefault="00B03B29" w:rsidP="00B03B29">
      <w:pPr>
        <w:pStyle w:val="Paragraphedeliste"/>
        <w:numPr>
          <w:ilvl w:val="0"/>
          <w:numId w:val="1"/>
        </w:numPr>
        <w:spacing w:line="259" w:lineRule="auto"/>
        <w:rPr>
          <w:rFonts w:asciiTheme="minorHAnsi" w:hAnsiTheme="minorHAnsi"/>
          <w:sz w:val="22"/>
          <w:lang w:eastAsia="fr-FR"/>
        </w:rPr>
      </w:pPr>
      <w:r w:rsidRPr="00B03B29">
        <w:rPr>
          <w:lang w:eastAsia="fr-FR"/>
        </w:rPr>
        <w:t>Plus de 435 tonnes d’or</w:t>
      </w:r>
      <w:r>
        <w:rPr>
          <w:lang w:eastAsia="fr-FR"/>
        </w:rPr>
        <w:t xml:space="preserve"> </w:t>
      </w:r>
      <w:r w:rsidRPr="00B03B29">
        <w:rPr>
          <w:rFonts w:eastAsia="Times New Roman" w:cs="Times New Roman"/>
          <w:szCs w:val="24"/>
          <w:lang w:eastAsia="fr-FR"/>
        </w:rPr>
        <w:t>ont été exportées en contrebande du continent africain en 2022, ce qui représente plus d’une tonne par jour. La contrebande d’or en Afrique a plus que doublé entre 2012 et 2022.</w:t>
      </w:r>
    </w:p>
    <w:p w14:paraId="0890F1D0" w14:textId="6AC64943" w:rsidR="00B03B29" w:rsidRPr="00B03B29" w:rsidRDefault="00B03B29" w:rsidP="00B03B29">
      <w:pPr>
        <w:spacing w:after="0" w:line="240" w:lineRule="auto"/>
        <w:rPr>
          <w:rFonts w:eastAsia="Times New Roman" w:cs="Times New Roman"/>
          <w:szCs w:val="24"/>
          <w:lang w:eastAsia="fr-FR"/>
        </w:rPr>
      </w:pPr>
    </w:p>
    <w:p w14:paraId="0995D901" w14:textId="5E97C663" w:rsidR="00B03B29" w:rsidRPr="00B03B29" w:rsidRDefault="00B03B29" w:rsidP="00B03B29">
      <w:pPr>
        <w:pStyle w:val="Paragraphedeliste"/>
        <w:numPr>
          <w:ilvl w:val="0"/>
          <w:numId w:val="1"/>
        </w:numPr>
        <w:spacing w:line="259" w:lineRule="auto"/>
        <w:rPr>
          <w:rFonts w:asciiTheme="minorHAnsi" w:hAnsiTheme="minorHAnsi"/>
          <w:sz w:val="22"/>
          <w:lang w:eastAsia="fr-FR"/>
        </w:rPr>
      </w:pPr>
      <w:r w:rsidRPr="00B03B29">
        <w:rPr>
          <w:lang w:eastAsia="fr-FR"/>
        </w:rPr>
        <w:t>Les EAU, la Suisse et l'Inde</w:t>
      </w:r>
      <w:r>
        <w:rPr>
          <w:lang w:eastAsia="fr-FR"/>
        </w:rPr>
        <w:t xml:space="preserve"> </w:t>
      </w:r>
      <w:r w:rsidRPr="00B03B29">
        <w:rPr>
          <w:rFonts w:eastAsia="Times New Roman" w:cs="Times New Roman"/>
          <w:szCs w:val="24"/>
          <w:lang w:eastAsia="fr-FR"/>
        </w:rPr>
        <w:t>ont été les trois principaux pays importateurs d’or en provenance d’Afrique entre 2012 et 2022. La Suisse à elle seule voit transiter près de 50% des importations d’or mondiales.</w:t>
      </w:r>
    </w:p>
    <w:p w14:paraId="5A33928C" w14:textId="1376E8D5" w:rsidR="00B03B29" w:rsidRDefault="00B03B29"/>
    <w:p w14:paraId="53CEF71D" w14:textId="45EAF52B" w:rsidR="00911BEA" w:rsidRDefault="00911BEA"/>
    <w:p w14:paraId="3F71FF16" w14:textId="77777777" w:rsidR="00911BEA" w:rsidRPr="00911BEA" w:rsidRDefault="00911BEA" w:rsidP="00911BEA">
      <w:pPr>
        <w:spacing w:before="100" w:beforeAutospacing="1" w:after="100" w:afterAutospacing="1" w:line="240" w:lineRule="auto"/>
        <w:jc w:val="left"/>
        <w:rPr>
          <w:rFonts w:eastAsia="Times New Roman" w:cs="Times New Roman"/>
          <w:szCs w:val="24"/>
          <w:lang w:eastAsia="fr-FR"/>
        </w:rPr>
      </w:pPr>
      <w:r w:rsidRPr="00911BEA">
        <w:rPr>
          <w:rFonts w:eastAsia="Times New Roman" w:cs="Times New Roman"/>
          <w:b/>
          <w:bCs/>
          <w:szCs w:val="24"/>
          <w:lang w:eastAsia="fr-FR"/>
        </w:rPr>
        <w:lastRenderedPageBreak/>
        <w:t>Production d’or</w:t>
      </w:r>
    </w:p>
    <w:p w14:paraId="1353BDF8" w14:textId="77777777" w:rsidR="00911BEA" w:rsidRPr="00911BEA" w:rsidRDefault="00911BEA" w:rsidP="00911BEA">
      <w:pPr>
        <w:numPr>
          <w:ilvl w:val="0"/>
          <w:numId w:val="2"/>
        </w:numPr>
        <w:spacing w:before="100" w:beforeAutospacing="1" w:after="100" w:afterAutospacing="1" w:line="240" w:lineRule="auto"/>
        <w:jc w:val="left"/>
        <w:rPr>
          <w:rFonts w:eastAsia="Times New Roman" w:cs="Times New Roman"/>
          <w:szCs w:val="24"/>
          <w:lang w:eastAsia="fr-FR"/>
        </w:rPr>
      </w:pPr>
      <w:r w:rsidRPr="00911BEA">
        <w:rPr>
          <w:rFonts w:eastAsia="Times New Roman" w:cs="Times New Roman"/>
          <w:szCs w:val="24"/>
          <w:lang w:eastAsia="fr-FR"/>
        </w:rPr>
        <w:t>extraction minière artisanale et à petite échelle</w:t>
      </w:r>
    </w:p>
    <w:p w14:paraId="0EAB97CE" w14:textId="77777777" w:rsidR="00911BEA" w:rsidRPr="00911BEA" w:rsidRDefault="00911BEA" w:rsidP="00911BEA">
      <w:pPr>
        <w:numPr>
          <w:ilvl w:val="1"/>
          <w:numId w:val="2"/>
        </w:numPr>
        <w:spacing w:before="100" w:beforeAutospacing="1" w:after="100" w:afterAutospacing="1" w:line="240" w:lineRule="auto"/>
        <w:jc w:val="left"/>
        <w:rPr>
          <w:rFonts w:eastAsia="Times New Roman" w:cs="Times New Roman"/>
          <w:szCs w:val="24"/>
          <w:lang w:eastAsia="fr-FR"/>
        </w:rPr>
      </w:pPr>
      <w:r w:rsidRPr="00911BEA">
        <w:rPr>
          <w:rFonts w:eastAsia="Times New Roman" w:cs="Times New Roman"/>
          <w:szCs w:val="24"/>
          <w:lang w:eastAsia="fr-FR"/>
        </w:rPr>
        <w:t>déclarée : pas de chiffre officiel</w:t>
      </w:r>
    </w:p>
    <w:p w14:paraId="67EB82F7" w14:textId="77777777" w:rsidR="00911BEA" w:rsidRPr="00911BEA" w:rsidRDefault="00911BEA" w:rsidP="00911BEA">
      <w:pPr>
        <w:numPr>
          <w:ilvl w:val="1"/>
          <w:numId w:val="2"/>
        </w:numPr>
        <w:spacing w:before="100" w:beforeAutospacing="1" w:after="100" w:afterAutospacing="1" w:line="240" w:lineRule="auto"/>
        <w:jc w:val="left"/>
        <w:rPr>
          <w:rFonts w:eastAsia="Times New Roman" w:cs="Times New Roman"/>
          <w:szCs w:val="24"/>
          <w:lang w:eastAsia="fr-FR"/>
        </w:rPr>
      </w:pPr>
      <w:r w:rsidRPr="00911BEA">
        <w:rPr>
          <w:rFonts w:eastAsia="Times New Roman" w:cs="Times New Roman"/>
          <w:szCs w:val="24"/>
          <w:lang w:eastAsia="fr-FR"/>
        </w:rPr>
        <w:t>non déclarée (estimations) : entre 4,0 et 4,5 tonnes par an à la fin des années 2010</w:t>
      </w:r>
    </w:p>
    <w:p w14:paraId="510C225C" w14:textId="77777777" w:rsidR="00911BEA" w:rsidRPr="00911BEA" w:rsidRDefault="00911BEA" w:rsidP="00911BEA">
      <w:pPr>
        <w:numPr>
          <w:ilvl w:val="0"/>
          <w:numId w:val="2"/>
        </w:numPr>
        <w:spacing w:before="100" w:beforeAutospacing="1" w:after="100" w:afterAutospacing="1" w:line="240" w:lineRule="auto"/>
        <w:jc w:val="left"/>
        <w:rPr>
          <w:rFonts w:eastAsia="Times New Roman" w:cs="Times New Roman"/>
          <w:szCs w:val="24"/>
          <w:lang w:eastAsia="fr-FR"/>
        </w:rPr>
      </w:pPr>
      <w:r w:rsidRPr="00911BEA">
        <w:rPr>
          <w:rFonts w:eastAsia="Times New Roman" w:cs="Times New Roman"/>
          <w:szCs w:val="24"/>
          <w:lang w:eastAsia="fr-FR"/>
        </w:rPr>
        <w:t>extraction minière industrielle ou à grande échelle : 14,9 tonnes en 2022</w:t>
      </w:r>
    </w:p>
    <w:p w14:paraId="598EFB16" w14:textId="77777777" w:rsidR="00911BEA" w:rsidRPr="00911BEA" w:rsidRDefault="00911BEA" w:rsidP="00911BEA">
      <w:pPr>
        <w:spacing w:before="100" w:beforeAutospacing="1" w:after="100" w:afterAutospacing="1" w:line="240" w:lineRule="auto"/>
        <w:jc w:val="left"/>
        <w:rPr>
          <w:rFonts w:eastAsia="Times New Roman" w:cs="Times New Roman"/>
          <w:szCs w:val="24"/>
          <w:lang w:eastAsia="fr-FR"/>
        </w:rPr>
      </w:pPr>
      <w:r w:rsidRPr="00911BEA">
        <w:rPr>
          <w:rFonts w:eastAsia="Times New Roman" w:cs="Times New Roman"/>
          <w:b/>
          <w:bCs/>
          <w:szCs w:val="24"/>
          <w:lang w:eastAsia="fr-FR"/>
        </w:rPr>
        <w:t>Exportations d’or</w:t>
      </w:r>
    </w:p>
    <w:p w14:paraId="5D4368C3" w14:textId="77777777" w:rsidR="00911BEA" w:rsidRPr="00911BEA" w:rsidRDefault="00911BEA" w:rsidP="00911BEA">
      <w:pPr>
        <w:numPr>
          <w:ilvl w:val="0"/>
          <w:numId w:val="3"/>
        </w:numPr>
        <w:spacing w:before="100" w:beforeAutospacing="1" w:after="100" w:afterAutospacing="1" w:line="240" w:lineRule="auto"/>
        <w:jc w:val="left"/>
        <w:rPr>
          <w:rFonts w:eastAsia="Times New Roman" w:cs="Times New Roman"/>
          <w:szCs w:val="24"/>
          <w:lang w:eastAsia="fr-FR"/>
        </w:rPr>
      </w:pPr>
      <w:r w:rsidRPr="00911BEA">
        <w:rPr>
          <w:rFonts w:eastAsia="Times New Roman" w:cs="Times New Roman"/>
          <w:szCs w:val="24"/>
          <w:lang w:eastAsia="fr-FR"/>
        </w:rPr>
        <w:t>déclarées : 18,31 tonnes en 2022, principalement à destination de la Suisse, de l’Australie et des Emirats arabes unis</w:t>
      </w:r>
    </w:p>
    <w:p w14:paraId="7E16DEA6" w14:textId="77777777" w:rsidR="00911BEA" w:rsidRPr="00911BEA" w:rsidRDefault="00911BEA" w:rsidP="00911BEA">
      <w:pPr>
        <w:numPr>
          <w:ilvl w:val="0"/>
          <w:numId w:val="3"/>
        </w:numPr>
        <w:spacing w:before="100" w:beforeAutospacing="1" w:after="100" w:afterAutospacing="1" w:line="240" w:lineRule="auto"/>
        <w:jc w:val="left"/>
        <w:rPr>
          <w:rFonts w:eastAsia="Times New Roman" w:cs="Times New Roman"/>
          <w:szCs w:val="24"/>
          <w:lang w:eastAsia="fr-FR"/>
        </w:rPr>
      </w:pPr>
      <w:r w:rsidRPr="00911BEA">
        <w:rPr>
          <w:rFonts w:eastAsia="Times New Roman" w:cs="Times New Roman"/>
          <w:szCs w:val="24"/>
          <w:lang w:eastAsia="fr-FR"/>
        </w:rPr>
        <w:t>non déclarées (estimations) : entre 3,6 et 4,1 tonnes</w:t>
      </w:r>
    </w:p>
    <w:p w14:paraId="61CC4018" w14:textId="6D87085A" w:rsidR="00911BEA" w:rsidRDefault="00911BEA"/>
    <w:p w14:paraId="705854B6" w14:textId="01010AA3" w:rsidR="00911BEA" w:rsidRDefault="00911BEA">
      <w:hyperlink r:id="rId5" w:history="1">
        <w:r w:rsidRPr="00421F72">
          <w:rPr>
            <w:rStyle w:val="Lienhypertexte"/>
          </w:rPr>
          <w:t>https://www.africangoldreport.org/fr/senegal</w:t>
        </w:r>
      </w:hyperlink>
    </w:p>
    <w:p w14:paraId="62B43ADC" w14:textId="5CF1364C" w:rsidR="00911BEA" w:rsidRDefault="00911BEA"/>
    <w:p w14:paraId="14E7C2E6" w14:textId="77777777" w:rsidR="009D378F" w:rsidRDefault="009D378F" w:rsidP="009D378F">
      <w:r>
        <w:pict w14:anchorId="4403931D">
          <v:rect id="_x0000_i1029" style="width:0;height:1.5pt" o:hralign="center" o:hrstd="t" o:hr="t" fillcolor="#a0a0a0" stroked="f"/>
        </w:pict>
      </w:r>
    </w:p>
    <w:p w14:paraId="1A2CAA94" w14:textId="77777777" w:rsidR="009D378F" w:rsidRDefault="009D378F" w:rsidP="009D378F">
      <w:pPr>
        <w:pStyle w:val="Titre1"/>
      </w:pPr>
      <w:r>
        <w:t>Revue de littérature</w:t>
      </w:r>
    </w:p>
    <w:p w14:paraId="3E98AC02" w14:textId="77777777" w:rsidR="009D378F" w:rsidRDefault="009D378F" w:rsidP="009D378F">
      <w:pPr>
        <w:pStyle w:val="Titre2"/>
      </w:pPr>
      <w:r>
        <w:t>Estimations de la production d'or d'EMAPE au Sénégal : une approche par analyse des données miroir</w:t>
      </w:r>
    </w:p>
    <w:p w14:paraId="020BA411" w14:textId="77777777" w:rsidR="009D378F" w:rsidRDefault="009D378F" w:rsidP="009D378F">
      <w:r>
        <w:pict w14:anchorId="582F9CE5">
          <v:rect id="_x0000_i1030" style="width:0;height:1.5pt" o:hralign="center" o:hrstd="t" o:hr="t" fillcolor="#a0a0a0" stroked="f"/>
        </w:pict>
      </w:r>
    </w:p>
    <w:p w14:paraId="13A1E3C4" w14:textId="77777777" w:rsidR="009D378F" w:rsidRDefault="009D378F" w:rsidP="009D378F">
      <w:pPr>
        <w:pStyle w:val="Titre2"/>
      </w:pPr>
      <w:r>
        <w:t>Introduction</w:t>
      </w:r>
    </w:p>
    <w:p w14:paraId="44AB838A" w14:textId="77777777" w:rsidR="009D378F" w:rsidRDefault="009D378F" w:rsidP="009D378F">
      <w:pPr>
        <w:pStyle w:val="NormalWeb"/>
      </w:pPr>
      <w:r>
        <w:t>L'extraction minière artisanale et à petite échelle (EMAPE) constitue l'une des activités économiques les plus dynamiques et les plus opaques du Sénégal contemporain. Concentrée à plus de 98 % dans la région de Kédougou, à l'extrême sud-est du pays, cette filière mobilise des dizaines de milliers de personnes issues du Sénégal et de toute la sous-région ouest-africaine, générant des volumes d'or dont la quantification exacte reste un défi scientifique et institutionnel majeur. L'enjeu n'est pas seulement académique : l'écart entre ce qui est produit et ce qui est officiellement déclaré représente une ponction fiscale et économique considérable pour l'État sénégalais, et alimente des circuits transfrontaliers informels aux ramifications régionales et internationales.</w:t>
      </w:r>
    </w:p>
    <w:p w14:paraId="02E20B7F" w14:textId="77777777" w:rsidR="009D378F" w:rsidRDefault="009D378F" w:rsidP="009D378F">
      <w:pPr>
        <w:pStyle w:val="NormalWeb"/>
      </w:pPr>
      <w:r>
        <w:t>Pour tenter de mesurer cet écart, un corpus croissant de travaux recourt à une méthodologie spécifique dite d'« analyse des données miroir » (ou mirror data analysis), qui consiste à comparer les statistiques d'exportation déclarées par un pays producteur avec les statistiques d'importation déclarées par ses pays partenaires pour les mêmes flux de marchandises. Appliquée à l'or — produit de valeur élevée, de faible poids et de très forte mobilité — cette méthode a permis de révéler des écarts significatifs qui sont généralement interprétés comme des indicateurs de commerce non déclaré, de contrebande ou de fausse facturation.</w:t>
      </w:r>
    </w:p>
    <w:p w14:paraId="038027D0" w14:textId="5E35F222" w:rsidR="009D378F" w:rsidRDefault="009D378F" w:rsidP="009D378F">
      <w:pPr>
        <w:pStyle w:val="NormalWeb"/>
      </w:pPr>
      <w:r>
        <w:lastRenderedPageBreak/>
        <w:t>Cette revue de littérature vise à dresser un état des travaux existants sur la production d'or d'EMAPE au Sénégal, en examinant les estimations quantitatives disponibles, les méthodes employées pour les produire, leurs forces et leurs limites, ainsi que les implications analytiques et politiques qui en découlent. Elle est structurée en cinq grandes parties : le cadre sectoriel de l'or au Sénégal ; les approches méthodologiques d'estimation de la production non déclarée ; les résultats empiriques issus de l'analyse des données miroir ; les limites et débats critiques autour de cette méthode ; et enfin les implications pour la gouvernance et la recherche future.</w:t>
      </w:r>
    </w:p>
    <w:p w14:paraId="668400BF" w14:textId="77777777" w:rsidR="009D378F" w:rsidRDefault="009D378F" w:rsidP="009D378F">
      <w:pPr>
        <w:pStyle w:val="Titre2"/>
      </w:pPr>
      <w:r>
        <w:t>I. Le secteur aurifère sénégalais : entre essor industriel et informalité artisanale</w:t>
      </w:r>
    </w:p>
    <w:p w14:paraId="711D8357" w14:textId="77777777" w:rsidR="009D378F" w:rsidRDefault="009D378F" w:rsidP="009D378F">
      <w:pPr>
        <w:pStyle w:val="Titre3"/>
      </w:pPr>
      <w:r>
        <w:t>1.1 L'émergence du Sénégal comme pays aurifère</w:t>
      </w:r>
    </w:p>
    <w:p w14:paraId="14448649" w14:textId="77777777" w:rsidR="009D378F" w:rsidRDefault="009D378F" w:rsidP="009D378F">
      <w:pPr>
        <w:pStyle w:val="NormalWeb"/>
      </w:pPr>
      <w:r>
        <w:t>Le Sénégal n'a longtemps pas été associé aux grands pays producteurs d'or d'Afrique de l'Ouest. Ce n'est qu'avec l'ouverture de la mine industrielle de Sabodala en 2009, opérée initialement par la société canadienne Teranga Gold (aujourd'hui Endeavour Mining), que le pays a véritablement intégré le paysage aurifère régional. La production de la mine de Sabodala avait atteint six tonnes en 2013, bien que les réserves de ce site situé dans le sud-est du pays soient estimées à plus de 46 tonnes. Depuis, le secteur industriel a connu une expansion significative, portée par la mise en production de nouveaux projets comme le complexe Sabodala-Massawa et la mine Mako.</w:t>
      </w:r>
    </w:p>
    <w:p w14:paraId="23E064BB" w14:textId="77777777" w:rsidR="009D378F" w:rsidRDefault="009D378F" w:rsidP="009D378F">
      <w:pPr>
        <w:pStyle w:val="NormalWeb"/>
      </w:pPr>
      <w:r>
        <w:t>En 2025, le secteur minier représentait environ 4 % du PIB sénégalais et 31 % des exportations, avec une production totale de métal précieux de 10,4 tonnes. Ces chiffres témoignent d'une montée en puissance sectorielle indéniable. Cependant, ils ne reflètent que la production formelle et industrielle, laissant dans l'ombre une fraction potentiellement comparable de la production artisanale.</w:t>
      </w:r>
    </w:p>
    <w:p w14:paraId="728514F9" w14:textId="77777777" w:rsidR="009D378F" w:rsidRDefault="009D378F" w:rsidP="009D378F">
      <w:pPr>
        <w:pStyle w:val="Titre3"/>
      </w:pPr>
      <w:r>
        <w:t>1.2 L'EMAPE dans la région de Kédougou : ampleur et caractéristiques</w:t>
      </w:r>
    </w:p>
    <w:p w14:paraId="768299C0" w14:textId="77777777" w:rsidR="009D378F" w:rsidRDefault="009D378F" w:rsidP="009D378F">
      <w:pPr>
        <w:pStyle w:val="NormalWeb"/>
      </w:pPr>
      <w:r>
        <w:t>La région de Kédougou, qui concentre l'essentiel des ressources aurifères sénégalaises, est le théâtre d'une effervescence artisanale depuis plusieurs décennies, mais qui a connu une accélération marquée à partir du début des années 2010 avec la hausse des cours mondiaux de l'or. En 2018, les mines artisanales de la région de Kédougou, où se trouvent 98 % des sites miniers du Sénégal, ont produit environ 4,2 tonnes d'or, d'une valeur de 86,6 milliards de francs CFA, et ont employé près de 32 500 personnes.</w:t>
      </w:r>
    </w:p>
    <w:p w14:paraId="0B51605A" w14:textId="77777777" w:rsidR="009D378F" w:rsidRDefault="009D378F" w:rsidP="009D378F">
      <w:pPr>
        <w:pStyle w:val="NormalWeb"/>
      </w:pPr>
      <w:r>
        <w:t>Ce chiffre de 4,2 tonnes constitue l'une des rares estimations officiellement citées pour la production d'EMAPE au Sénégal. Il est toutefois sujet à caution, car il repose sur des déclarations partielles dans un contexte où la grande majorité de l'activité échappe à tout recensement. D'autres sources évoquent une fourchette de 4 à 4,5 tonnes de production annuelle d'or artisanal, chiffre qui, comme on le verra, reste largement sous-déclaré.</w:t>
      </w:r>
    </w:p>
    <w:p w14:paraId="4BEA0B13" w14:textId="77777777" w:rsidR="009D378F" w:rsidRDefault="009D378F" w:rsidP="009D378F">
      <w:pPr>
        <w:pStyle w:val="NormalWeb"/>
      </w:pPr>
      <w:r>
        <w:t>Le statut de l'EMAPE au Sénégal est, dans la plupart des cas, illégal. En 2014, le gouvernement a décidé de réorganiser ce secteur en délimitant 16 périmètres officiels pour cette activité. Cette tentative de formalisation n'a cependant pas substantiellement changé la nature informelle du secteur, comme en attestent tous les travaux postérieurs à cette réforme.</w:t>
      </w:r>
    </w:p>
    <w:p w14:paraId="6CB7C273" w14:textId="77777777" w:rsidR="009D378F" w:rsidRDefault="009D378F" w:rsidP="009D378F">
      <w:pPr>
        <w:pStyle w:val="NormalWeb"/>
      </w:pPr>
      <w:r>
        <w:t xml:space="preserve">L'étude de Ngom et al. (2020), publiée dans la revue GeoHealth, a utilisé les données satellitaires Sentinel-2 et la plateforme Google Earth Engine pour cartographier les sites </w:t>
      </w:r>
      <w:r>
        <w:lastRenderedPageBreak/>
        <w:t>d'EMAPE au Sénégal. Elle offre une approche méthodologique complémentaire aux analyses statistiques, en permettant de visualiser l'étendue géographique d'une activité qui dépasse de loin les cadres officiels. Cette approche spatiale constitue une contribution importante pour comprendre la dynamique de l'EMAPE, notamment dans les zones frontalières difficiles d'accès.</w:t>
      </w:r>
    </w:p>
    <w:p w14:paraId="60AB9ADB" w14:textId="77777777" w:rsidR="009D378F" w:rsidRDefault="009D378F" w:rsidP="009D378F">
      <w:pPr>
        <w:pStyle w:val="Titre3"/>
      </w:pPr>
      <w:r>
        <w:t>1.3 Le cadre institutionnel et ses failles</w:t>
      </w:r>
    </w:p>
    <w:p w14:paraId="32609EBF" w14:textId="77777777" w:rsidR="009D378F" w:rsidRDefault="009D378F" w:rsidP="009D378F">
      <w:pPr>
        <w:pStyle w:val="NormalWeb"/>
      </w:pPr>
      <w:r>
        <w:t>Le cadre réglementaire de l'EMAPE au Sénégal est structuré autour d'un arrêté ministériel de 2014 fixant les modalités d'ouverture et d'exploitation des comptoirs de commercialisation des pierres et métaux précieux. Selon cette réglementation, toute quantité d'or supérieure à 10 grammes doit être vendue à des comptoirs commerciaux agréés. Cependant, cette volonté de réglementation n'a pas empêché l'or du Sénégal d'emprunter des voies de contournement. Sur les sept comptoirs agréés que compte la région de Kédougou, seuls trois étaient opérationnels en octobre 2021.</w:t>
      </w:r>
    </w:p>
    <w:p w14:paraId="3FB6E166" w14:textId="77777777" w:rsidR="009D378F" w:rsidRDefault="009D378F" w:rsidP="009D378F">
      <w:pPr>
        <w:pStyle w:val="NormalWeb"/>
      </w:pPr>
      <w:r>
        <w:t>Le rapport ISS-CHEDS de 2021, intitulé « Répondre aux menaces à la sécurité humaine liées à l'exploitation minière dans les régions de Kédougou et de Dakana », constitue l'une des analyses institutionnelles les plus détaillées du secteur. Il documente la présence de plus de 300 acheteurs informels dans la région de Kédougou, dont une majorité de ressortissants maliens et guinéens, qui captent l'essentiel de la production artisanale au détriment des circuits officiels. Selon un propriétaire de comptoir d'achat interrogé en 2021, seuls 10 % de l'or artisanal transiteraient par les comptoirs agréés par l'État.</w:t>
      </w:r>
    </w:p>
    <w:p w14:paraId="65F1E1FD" w14:textId="77777777" w:rsidR="009D378F" w:rsidRDefault="009D378F" w:rsidP="009D378F">
      <w:pPr>
        <w:pStyle w:val="NormalWeb"/>
      </w:pPr>
      <w:r>
        <w:t>Cette donnée — 10 % de taux de passage par les circuits formels — est fondamentale pour comprendre l'ampleur structurelle de la non-déclaration. Elle signifie que 90 % de la production artisanale d'or au Sénégal n'est jamais enregistrée dans les statistiques officielles au moment de sa première commercialisation, ce qui rend toute estimation basée uniquement sur les données officielles profondément sous-estimatrice.</w:t>
      </w:r>
    </w:p>
    <w:p w14:paraId="0B77A23F" w14:textId="77777777" w:rsidR="009D378F" w:rsidRDefault="009D378F" w:rsidP="009D378F">
      <w:pPr>
        <w:pStyle w:val="NormalWeb"/>
      </w:pPr>
      <w:r>
        <w:t>Le rôle de l'Initiative pour la transparence dans les industries extractives (ITIE) mérite ici une mention particulière. Le Sénégal est membre de l'ITIE et publie régulièrement des rapports de réconciliation. Le Sénégal publie des données de production sur le portail de données du Ministère des mines et via le site ITIE national. Ces données couvrent cependant principalement le secteur industriel. L'EMAPE, étant largement informelle et non enregistrée, échappe aux mécanismes de réconciliation de l'ITIE, qui reposent sur des déclarations volontaires des entreprises exploitantes.</w:t>
      </w:r>
    </w:p>
    <w:p w14:paraId="0797FD9E" w14:textId="373041E3" w:rsidR="009D378F" w:rsidRDefault="009D378F" w:rsidP="009D378F"/>
    <w:p w14:paraId="6CE948BF" w14:textId="77777777" w:rsidR="009D378F" w:rsidRDefault="009D378F" w:rsidP="009D378F">
      <w:pPr>
        <w:pStyle w:val="Titre2"/>
      </w:pPr>
      <w:r>
        <w:t>II. L'analyse des données miroir : fondements théoriques et opérationnels</w:t>
      </w:r>
    </w:p>
    <w:p w14:paraId="4C98C9FC" w14:textId="77777777" w:rsidR="009D378F" w:rsidRDefault="009D378F" w:rsidP="009D378F">
      <w:pPr>
        <w:pStyle w:val="Titre3"/>
      </w:pPr>
      <w:r>
        <w:t>2.1 Principes de la méthode</w:t>
      </w:r>
    </w:p>
    <w:p w14:paraId="1C89B977" w14:textId="77777777" w:rsidR="009D378F" w:rsidRDefault="009D378F" w:rsidP="009D378F">
      <w:pPr>
        <w:pStyle w:val="NormalWeb"/>
      </w:pPr>
      <w:r>
        <w:t xml:space="preserve">L'analyse des données miroir est une technique statistique utilisée pour identifier des discordances dans les statistiques du commerce bilatéral. Elle repose sur un principe simple : pour un échange commercial donné entre deux pays A et B, les exportations déclarées par A vers B devraient, après ajustements techniques, correspondre aux importations déclarées par B en provenance de A. Tout écart significatif et persistant entre ces deux séries de données est </w:t>
      </w:r>
      <w:r>
        <w:lastRenderedPageBreak/>
        <w:t>interprété comme un signal potentiel de flux financiers illicites (FFI), de contrebande ou de fausse facturation.</w:t>
      </w:r>
    </w:p>
    <w:p w14:paraId="6A9CD9CD" w14:textId="515C7742" w:rsidR="009D378F" w:rsidRDefault="009D378F" w:rsidP="009D378F">
      <w:pPr>
        <w:pStyle w:val="NormalWeb"/>
      </w:pPr>
      <w:r>
        <w:t>Cette analyse des données miroir compare la valeur des exportations déclarées par le pays A vers le pays B avec la valeur des importations déclarées par le pays B pour le même flux commercial. La base de données UNComtrade de l'ONU, qui agrège les statistiques commerciales de 161 pays selon le Système harmonisé de classification des produits (SH), est la principale source utilisée pour cette méthode.</w:t>
      </w:r>
    </w:p>
    <w:p w14:paraId="1E5C89EE" w14:textId="77777777" w:rsidR="009D378F" w:rsidRDefault="009D378F" w:rsidP="009D378F">
      <w:pPr>
        <w:pStyle w:val="NormalWeb"/>
      </w:pPr>
      <w:r>
        <w:t>L'ajustement technique le plus important à effectuer est la prise en compte de la différence entre la valeur FAB (franco à bord) utilisée pour les exportations et la valeur CAF (coût, assurance, fret) utilisée pour les importations. Les importations étant naturellement supérieures aux exportations correspondantes de ce fait, un écart positif résiduel (exportations déclarées inférieures aux importations correspondantes) peut indiquer une sous-déclaration des exportations.</w:t>
      </w:r>
    </w:p>
    <w:p w14:paraId="5F243DFC" w14:textId="77777777" w:rsidR="009D378F" w:rsidRDefault="009D378F" w:rsidP="009D378F">
      <w:pPr>
        <w:pStyle w:val="Titre3"/>
      </w:pPr>
      <w:r>
        <w:t>2.2 Application à l'or africain : les études fondatrices</w:t>
      </w:r>
    </w:p>
    <w:p w14:paraId="0C6AD42D" w14:textId="77777777" w:rsidR="009D378F" w:rsidRDefault="009D378F" w:rsidP="009D378F">
      <w:pPr>
        <w:pStyle w:val="NormalWeb"/>
      </w:pPr>
      <w:r>
        <w:t>Trois grandes études ont appliqué cette méthode au commerce de l'or africain et constituent les références centrales du débat actuel.</w:t>
      </w:r>
    </w:p>
    <w:p w14:paraId="795A7DD6" w14:textId="3D43ED74" w:rsidR="009D378F" w:rsidRDefault="009D378F" w:rsidP="009D378F">
      <w:pPr>
        <w:pStyle w:val="NormalWeb"/>
      </w:pPr>
      <w:r>
        <w:t xml:space="preserve">La première est le </w:t>
      </w:r>
      <w:r>
        <w:rPr>
          <w:rStyle w:val="lev"/>
        </w:rPr>
        <w:t>rapport CNUCED 2020</w:t>
      </w:r>
      <w:r>
        <w:t xml:space="preserve"> sur les flux financiers illicites et le développement durable en Afrique. La CNUCED a estimé, en s'appuyant sur la base de données </w:t>
      </w:r>
      <w:r>
        <w:t>UN</w:t>
      </w:r>
      <w:r>
        <w:t>Comtrade, que les FFI liés à la sous-facturation des exportations africaines de produits extractifs s'élevaient à 40 milliards USD en 2015, dont 77 % attribuables au secteur de l'or. Ce chiffre a fait l'objet de critiques m</w:t>
      </w:r>
      <w:r>
        <w:t>é</w:t>
      </w:r>
      <w:r>
        <w:t>thodologiques importantes, notamment concernant le traitement statistique des données sud-africaines. Après révision, la part estimée de l'or a été ramenée de 77 % à 40 %, illustrant la sensibilité des estimations aux choix méthodologiques.</w:t>
      </w:r>
    </w:p>
    <w:p w14:paraId="1F9A837D" w14:textId="71F94744" w:rsidR="009D378F" w:rsidRDefault="009D378F" w:rsidP="009D378F">
      <w:pPr>
        <w:pStyle w:val="NormalWeb"/>
      </w:pPr>
      <w:r>
        <w:t>La deuxième est l'</w:t>
      </w:r>
      <w:r>
        <w:rPr>
          <w:rStyle w:val="lev"/>
        </w:rPr>
        <w:t>analyse Reuters de 2019</w:t>
      </w:r>
      <w:r>
        <w:t>, qui a examiné les importations d'or aux Émirats arabes unis (EAU) en provenance de 46 pays africains pour l'année 2016. Reuters a démontré que les autorités de 25 de ces pays n'avaient pas déclaré à UNComtrade leurs exportations d'or vers les EAU, alors que les EAU déclaraient avoir importé un total de 7,4 milliards USD d'or en provenance de ces pays. Par ailleurs, les quantités déclarées comme exportées par 21 autres pays africains étaient inférieures de 67 tonnes à ce que les EAU déclaraient avoir importé de ces pays, soit un écart de valeur d'environ 3,9 milliards USD.</w:t>
      </w:r>
    </w:p>
    <w:p w14:paraId="05B318EC" w14:textId="032FEA87" w:rsidR="009D378F" w:rsidRDefault="009D378F" w:rsidP="009D378F">
      <w:pPr>
        <w:pStyle w:val="NormalWeb"/>
      </w:pPr>
      <w:r>
        <w:t>La troisième est l'</w:t>
      </w:r>
      <w:r>
        <w:rPr>
          <w:rStyle w:val="lev"/>
        </w:rPr>
        <w:t>analyse Bloomberg de 2021</w:t>
      </w:r>
      <w:r>
        <w:t>, publiée en décembre de cette année. En s'appuyant sur les statistiques UNComtrade pour l'année 2020, Bloomberg a constaté que l'écart entre l'or exporté par les pays africains vers les EAU et l'or importé par les EAU en provenance d'Afrique s'élevait à au moins 4 milliards USD, et que la contrebande concernait au moins neuf pays africains. Les neuf pays identifiés comprennent notamment le Soudan, le Nigeria, la RDC, le Zimbabwe, le Mali, le Ghana, le Burkina Faso, la République centrafricaine et le Niger.</w:t>
      </w:r>
    </w:p>
    <w:p w14:paraId="42CFC64A" w14:textId="77777777" w:rsidR="009D378F" w:rsidRDefault="009D378F" w:rsidP="009D378F">
      <w:pPr>
        <w:pStyle w:val="Titre3"/>
      </w:pPr>
      <w:r>
        <w:t>2.3 L'étude SWISSAID 2024 : une méthodologie enrichie</w:t>
      </w:r>
    </w:p>
    <w:p w14:paraId="37F6D355" w14:textId="6044E308" w:rsidR="009D378F" w:rsidRDefault="009D378F" w:rsidP="009D378F">
      <w:pPr>
        <w:pStyle w:val="NormalWeb"/>
      </w:pPr>
      <w:r>
        <w:t>Le rapport « Sur la piste de l'or africain », publié par l'ONG suisse SWISSAID en mai 2024 et complété par une étude pays publiée en octobre 2024, représente la synthèse méthodologique la plus avancée à ce jour. Il couvre les 54 pays africains sur une période de onze ans (2012-</w:t>
      </w:r>
      <w:r>
        <w:lastRenderedPageBreak/>
        <w:t>2022) et croise de multiples sources de données pour dépasser les limites de la seule analyse miroir basée sur UNComtrade.</w:t>
      </w:r>
    </w:p>
    <w:p w14:paraId="1316448A" w14:textId="77777777" w:rsidR="009D378F" w:rsidRDefault="009D378F" w:rsidP="009D378F">
      <w:pPr>
        <w:pStyle w:val="NormalWeb"/>
      </w:pPr>
      <w:r>
        <w:t xml:space="preserve">La méthodologie SWISSAID intègre quatre grandes innovations par rapport aux études précédentes. Premièrement, elle incorpore la </w:t>
      </w:r>
      <w:r>
        <w:rPr>
          <w:rStyle w:val="lev"/>
        </w:rPr>
        <w:t>composante production</w:t>
      </w:r>
      <w:r>
        <w:t xml:space="preserve"> dans l'analyse : en comparant les volumes de production déclarés et estimés (incluant la production d'EMAPE non déclarée) avec les flux d'exportation, elle permet de détecter des écarts qui n'apparaîtraient pas dans une simple comparaison bilatérale. Deuxièmement, elle utilise des </w:t>
      </w:r>
      <w:r>
        <w:rPr>
          <w:rStyle w:val="lev"/>
        </w:rPr>
        <w:t>statistiques douanières nationales</w:t>
      </w:r>
      <w:r>
        <w:t xml:space="preserve"> pour les pays qui ne les rapportent pas à UN Comtrade, comblant ainsi une lacune structurelle de la base de données internationale. Troisièmement, elle tient compte des </w:t>
      </w:r>
      <w:r>
        <w:rPr>
          <w:rStyle w:val="lev"/>
        </w:rPr>
        <w:t>données des raffineries membres de la London Bullion Market Association (LBMA)</w:t>
      </w:r>
      <w:r>
        <w:t xml:space="preserve">, qui fournissent des informations par poids non disponibles dans les statistiques douanières classiques. Quatrièmement, elle privilégie la </w:t>
      </w:r>
      <w:r>
        <w:rPr>
          <w:rStyle w:val="lev"/>
        </w:rPr>
        <w:t>comparaison en poids (quantités)</w:t>
      </w:r>
      <w:r>
        <w:t xml:space="preserve"> plutôt qu'en valeur commerciale, pour s'affranchir des effets de la volatilité des prix de l'or et des taux de change.</w:t>
      </w:r>
    </w:p>
    <w:p w14:paraId="152B7E65" w14:textId="544038FB" w:rsidR="009D378F" w:rsidRDefault="009D378F" w:rsidP="009D378F">
      <w:pPr>
        <w:pStyle w:val="NormalWeb"/>
      </w:pPr>
      <w:r>
        <w:t>Les résultats de l'étude SWISSAID sont saisissants : chaque année, entre 321 et 474 tonnes d'or artisanal sont produites en Afrique sans être déclarées, ce qui équivaut à entre 24 et 35 milliards de dollars, soit 75 % de la production totale d'or africain extrait de manière artisanale.</w:t>
      </w:r>
    </w:p>
    <w:p w14:paraId="409CB2A5" w14:textId="77777777" w:rsidR="009D378F" w:rsidRDefault="009D378F" w:rsidP="009D378F">
      <w:pPr>
        <w:pStyle w:val="Titre2"/>
      </w:pPr>
      <w:r>
        <w:t>III. Estimations quantitatives de la production d'or d'EMAPE au Sénégal</w:t>
      </w:r>
    </w:p>
    <w:p w14:paraId="567E487E" w14:textId="77777777" w:rsidR="009D378F" w:rsidRDefault="009D378F" w:rsidP="009D378F">
      <w:pPr>
        <w:pStyle w:val="Titre3"/>
      </w:pPr>
      <w:r>
        <w:t>3.1 Les données officielles : entre incomplétude et discontinuité</w:t>
      </w:r>
    </w:p>
    <w:p w14:paraId="45B000D6" w14:textId="77777777" w:rsidR="009D378F" w:rsidRDefault="009D378F" w:rsidP="009D378F">
      <w:pPr>
        <w:pStyle w:val="NormalWeb"/>
      </w:pPr>
      <w:r>
        <w:t>Les estimations officielles de la production d'EMAPE au Sénégal sont rares, discontinues et partielles. Les principales sources institutionnelles sont le ministère des Mines (via ses statistiques minières), les rapports annuels du Comité national ITIE et les données de l'United States Geological Survey (USGS).</w:t>
      </w:r>
    </w:p>
    <w:p w14:paraId="0C1CDD46" w14:textId="77777777" w:rsidR="009D378F" w:rsidRDefault="009D378F" w:rsidP="009D378F">
      <w:pPr>
        <w:pStyle w:val="NormalWeb"/>
      </w:pPr>
      <w:r>
        <w:t>La production industrielle est beaucoup mieux documentée. La production d'or du Sénégal était de 12 591 kg (soit environ 12,6 tonnes) en 2023, selon les données de l'USGS. Ces chiffres, qui concernent essentiellement la production des mines industrielles (Sabodala-Massawa et Mako), constituent la base fiable des statistiques officielles. Pour l'EMAPE, la situation est radicalement différente.</w:t>
      </w:r>
    </w:p>
    <w:p w14:paraId="4A617D80" w14:textId="77777777" w:rsidR="009D378F" w:rsidRDefault="009D378F" w:rsidP="009D378F">
      <w:pPr>
        <w:pStyle w:val="NormalWeb"/>
      </w:pPr>
      <w:r>
        <w:t>La figure la plus citée dans la littérature récente est celle de 4 à 4,5 tonnes de production annuelle d'or artisanal. Cette estimation provient d'enquêtes de terrain et de déclarations de parties prenantes locales, et non de systèmes formels de collecte de données. Elle est mentionnée dans le rapport SWISSAID 2024 sur le Sénégal ainsi que dans les rapports CHEDS-ISS, mais sans traçabilité méthodologique claire quant à la manière dont elle a été établie.</w:t>
      </w:r>
    </w:p>
    <w:p w14:paraId="191884C0" w14:textId="77777777" w:rsidR="009D378F" w:rsidRDefault="009D378F" w:rsidP="009D378F">
      <w:pPr>
        <w:pStyle w:val="Titre3"/>
      </w:pPr>
      <w:r>
        <w:t>3.2 Les révélations de l'analyse des données miroir appliquée au Sénégal</w:t>
      </w:r>
    </w:p>
    <w:p w14:paraId="5CA966C8" w14:textId="77777777" w:rsidR="009D378F" w:rsidRDefault="009D378F" w:rsidP="009D378F">
      <w:pPr>
        <w:pStyle w:val="NormalWeb"/>
      </w:pPr>
      <w:r>
        <w:t>L'étude SWISSAID de 2024 est la première à appliquer de manière systématique l'analyse des données miroir à la production et au commerce de l'or sénégalais sur une longue période. Ses résultats pour le Sénégal sont particulièrement frappants.</w:t>
      </w:r>
    </w:p>
    <w:p w14:paraId="69D8E6DD" w14:textId="77777777" w:rsidR="009D378F" w:rsidRDefault="009D378F" w:rsidP="009D378F">
      <w:pPr>
        <w:pStyle w:val="NormalWeb"/>
      </w:pPr>
      <w:r>
        <w:t xml:space="preserve">Entre 2013 et 2022, 36 à 41 tonnes d'or ont été illégalement sorties du Sénégal, soit 3,6 à 4,1 tonnes exportées clandestinement chaque année. Cette fourchette est obtenue en croisant les </w:t>
      </w:r>
      <w:r>
        <w:lastRenderedPageBreak/>
        <w:t>données de production officielles et estimées avec les statistiques d'importation des pays partenaires et en soustrayant les exportations officiellement déclarées par le Sénégal.</w:t>
      </w:r>
    </w:p>
    <w:p w14:paraId="411D8ED1" w14:textId="77777777" w:rsidR="009D378F" w:rsidRDefault="009D378F" w:rsidP="009D378F">
      <w:pPr>
        <w:pStyle w:val="NormalWeb"/>
      </w:pPr>
      <w:r>
        <w:t>La valeur de cette fraude à l'exportation est estimée entre 1 421 milliards de francs CFA (2,38 milliards de dollars) et 1 618 milliards de francs CFA (2,71 milliards de dollars) sur la période 2013-2022.</w:t>
      </w:r>
    </w:p>
    <w:p w14:paraId="25FCBC4C" w14:textId="77777777" w:rsidR="009D378F" w:rsidRDefault="009D378F" w:rsidP="009D378F">
      <w:pPr>
        <w:pStyle w:val="NormalWeb"/>
      </w:pPr>
      <w:r>
        <w:t>L'analyse des données miroir appliquée aux flux bilatéraux donne un résultat particulièrement parlant pour l'année 2021 : une différence de 2,95 tonnes a été constatée entre les chiffres d'exportation rapportés par le Sénégal et ceux enregistrés par les pays importateurs, suggérant une fuite importante de l'or hors des circuits légaux.</w:t>
      </w:r>
    </w:p>
    <w:p w14:paraId="6BD07750" w14:textId="77777777" w:rsidR="009D378F" w:rsidRDefault="009D378F" w:rsidP="009D378F">
      <w:pPr>
        <w:pStyle w:val="Titre3"/>
      </w:pPr>
      <w:r>
        <w:t>3.3 La route de la contrebande : le rôle pivot du Mali</w:t>
      </w:r>
    </w:p>
    <w:p w14:paraId="377E31BF" w14:textId="77777777" w:rsidR="009D378F" w:rsidRDefault="009D378F" w:rsidP="009D378F">
      <w:pPr>
        <w:pStyle w:val="NormalWeb"/>
      </w:pPr>
      <w:r>
        <w:t>Un élément structural essentiel pour comprendre pourquoi les données miroir bilatérales entre le Sénégal et les EAU sous-estiment encore les volumes réels est la nature triangulaire du commerce de contrebande. L'or sénégalais ne rejoint pas directement Dubaï : il transite d'abord par le Mali.</w:t>
      </w:r>
    </w:p>
    <w:p w14:paraId="7F47459F" w14:textId="77777777" w:rsidR="009D378F" w:rsidRDefault="009D378F" w:rsidP="009D378F">
      <w:pPr>
        <w:pStyle w:val="NormalWeb"/>
      </w:pPr>
      <w:r>
        <w:t>L'on estime que 80 % de l'or artisanal de la chaîne d'approvisionnement malienne provient en fait du Sénégal. La porosité des frontières, la proximité géographique, les affinités ethniques transfrontalières, la plus grande sécurité des voies d'accès illégales et les années d'instabilité au Mali sont autant de facteurs qui facilitent ce commerce illégal.</w:t>
      </w:r>
    </w:p>
    <w:p w14:paraId="6C46F1C6" w14:textId="77777777" w:rsidR="009D378F" w:rsidRDefault="009D378F" w:rsidP="009D378F">
      <w:pPr>
        <w:pStyle w:val="NormalWeb"/>
      </w:pPr>
      <w:r>
        <w:t>L'organisation ARM estime qu'au milieu des années 2010, jusqu'à 80 % de l'or produit au Sénégal transitait par le Mali avant de rejoindre les EAU. Ce chiffre serait même de 90 % selon un propriétaire de comptoir d'achat de Kédougou interrogé en 2021.</w:t>
      </w:r>
    </w:p>
    <w:p w14:paraId="78B6336F" w14:textId="77777777" w:rsidR="009D378F" w:rsidRDefault="009D378F" w:rsidP="009D378F">
      <w:pPr>
        <w:pStyle w:val="NormalWeb"/>
      </w:pPr>
      <w:r>
        <w:t>Ce transit malien a des implications méthodologiques directes pour l'analyse des données miroir appliquée au Sénégal. Si l'or sénégalais entre au Mali et y est enregistré comme or malien avant d'être exporté vers les EAU, alors la comparaison directe entre les exportations sénégalaises et les importations émiraties ne capturera pas ce flux. L'écart visible dans les données miroir bilatérales Sénégal-EAU représente donc une borne inférieure des flux réels, et l'approche production-export de SWISSAID est méthodologiquement supérieure pour saisir l'ampleur totale du phénomène.</w:t>
      </w:r>
    </w:p>
    <w:p w14:paraId="328EF2D3" w14:textId="55DBBC4B" w:rsidR="009D378F" w:rsidRDefault="009D378F" w:rsidP="009D378F">
      <w:pPr>
        <w:pStyle w:val="NormalWeb"/>
      </w:pPr>
      <w:r>
        <w:t>La fiscalité constitue le principal mécanisme d'incitation au détournement. La part de l'or artisanal qui rentre dans le circuit formel au Sénégal aurait fortement diminué au cours des dernières années, à cause de l'introduction en 2018 d'une taxe à l'importation de 4 %, l'une des plus élevées de la sous-région. Les acheteurs maliens, opérant dans un régime fiscal plus favorable (le Mali ne taxant que les 50 premiers kilos d'or exportés par mois), offrent aux orpailleurs sénégalais des prix plus attractifs, captant ainsi une fraction croissante de la production.</w:t>
      </w:r>
    </w:p>
    <w:p w14:paraId="3106639E" w14:textId="77777777" w:rsidR="009D378F" w:rsidRDefault="009D378F" w:rsidP="009D378F">
      <w:pPr>
        <w:pStyle w:val="Titre2"/>
      </w:pPr>
      <w:r>
        <w:t>IV. Limites et débats critiques autour de la méthode des données miroir</w:t>
      </w:r>
    </w:p>
    <w:p w14:paraId="5D287701" w14:textId="77777777" w:rsidR="009D378F" w:rsidRDefault="009D378F" w:rsidP="009D378F">
      <w:pPr>
        <w:pStyle w:val="Titre3"/>
      </w:pPr>
      <w:r>
        <w:t>4.1 Les sources structurelles d'écarts non illicites</w:t>
      </w:r>
    </w:p>
    <w:p w14:paraId="746A584F" w14:textId="77777777" w:rsidR="009D378F" w:rsidRDefault="009D378F" w:rsidP="009D378F">
      <w:pPr>
        <w:pStyle w:val="NormalWeb"/>
      </w:pPr>
      <w:r>
        <w:lastRenderedPageBreak/>
        <w:t>La méthode des données miroir est puissante mais imparfaite. Elle est vulnérable à plusieurs sources d'écarts statistiques qui n'ont rien d'illicite et qui peuvent induire en erreur si elles ne sont pas correctement prises en compte.</w:t>
      </w:r>
    </w:p>
    <w:p w14:paraId="2ECAC949" w14:textId="77777777" w:rsidR="009D378F" w:rsidRDefault="009D378F" w:rsidP="009D378F">
      <w:pPr>
        <w:pStyle w:val="NormalWeb"/>
      </w:pPr>
      <w:r>
        <w:t xml:space="preserve">La première source d'écart est la </w:t>
      </w:r>
      <w:r>
        <w:rPr>
          <w:rStyle w:val="lev"/>
        </w:rPr>
        <w:t>différence de valorisation</w:t>
      </w:r>
      <w:r>
        <w:t xml:space="preserve"> entre exportations FAB et importations CAF, mentionnée plus haut. Pour l'or, les coûts de fret et d'assurance sont relativement faibles par rapport à la valeur du produit, rendant cet ajustement relativement mineur, mais non négligeable.</w:t>
      </w:r>
    </w:p>
    <w:p w14:paraId="3498AF4A" w14:textId="77777777" w:rsidR="009D378F" w:rsidRDefault="009D378F" w:rsidP="009D378F">
      <w:pPr>
        <w:pStyle w:val="NormalWeb"/>
      </w:pPr>
      <w:r>
        <w:t xml:space="preserve">La deuxième est la </w:t>
      </w:r>
      <w:r>
        <w:rPr>
          <w:rStyle w:val="lev"/>
        </w:rPr>
        <w:t>différence de système de commerce</w:t>
      </w:r>
      <w:r>
        <w:t>. Comme l'explique le rapport SWISSAID (document partagé en annexe), les pays peuvent opter soit pour le système de commerce général (qui inclut les réimportations et réexportations), soit pour le système de commerce spécial (qui exclut les biens en transit ou en perfectionnement actif). L'Afrique du Sud applique un système de commerce spécial strict : l'or importé pour être raffiné n'est pas enregistré dans ses statistiques. Cela a créé des écarts artificiels importants qui ont conduit la CNUCED à revoir à la baisse ses estimations initiales concernant la part de l'or dans les flux financiers illicites africains (de 77 % à 40 %).</w:t>
      </w:r>
    </w:p>
    <w:p w14:paraId="60898572" w14:textId="77777777" w:rsidR="009D378F" w:rsidRDefault="009D378F" w:rsidP="009D378F">
      <w:pPr>
        <w:pStyle w:val="NormalWeb"/>
      </w:pPr>
      <w:r>
        <w:t xml:space="preserve">La troisième est la </w:t>
      </w:r>
      <w:r>
        <w:rPr>
          <w:rStyle w:val="lev"/>
        </w:rPr>
        <w:t>classification tarifaire</w:t>
      </w:r>
      <w:r>
        <w:t>. Des différences dans l'interprétation et l'application des codes du Système harmonisé entre pays exportateurs et pays importateurs peuvent créer des écarts artificiels. Pour l'or, les codes 7108.12 et 7108.13 sont fréquemment confondus.</w:t>
      </w:r>
    </w:p>
    <w:p w14:paraId="16D13EE8" w14:textId="77777777" w:rsidR="009D378F" w:rsidRDefault="009D378F" w:rsidP="009D378F">
      <w:pPr>
        <w:pStyle w:val="NormalWeb"/>
      </w:pPr>
      <w:r>
        <w:t>La quatrième est l'</w:t>
      </w:r>
      <w:r>
        <w:rPr>
          <w:rStyle w:val="lev"/>
        </w:rPr>
        <w:t>attribution au pays partenaire</w:t>
      </w:r>
      <w:r>
        <w:t>. Si de l'or est exporté d'un pays A vers un pays B puis réexporté vers un pays C, les statistiques du pays C indiqueront une importation en provenance du pays A, créant des écarts artificiels dans l'analyse bilatérale entre B et C.</w:t>
      </w:r>
    </w:p>
    <w:p w14:paraId="7467119C" w14:textId="77777777" w:rsidR="009D378F" w:rsidRDefault="009D378F" w:rsidP="009D378F">
      <w:pPr>
        <w:pStyle w:val="NormalWeb"/>
      </w:pPr>
      <w:r>
        <w:t>Le principal problème de l'analyse des données miroir est que le commerce ordinaire non illicite transitant par des entrepôts sous douane, des plateformes de transit ou des centres de négoce peut être interprété comme des paires de flux illicites entrant et sortant des pays en développement. Cette critique formulée par le Center for Global Development constitue l'une des mises en garde les plus importantes pour les utilisateurs de cette méthode.</w:t>
      </w:r>
    </w:p>
    <w:p w14:paraId="311B8AE1" w14:textId="77777777" w:rsidR="009D378F" w:rsidRDefault="009D378F" w:rsidP="009D378F">
      <w:pPr>
        <w:pStyle w:val="Titre3"/>
      </w:pPr>
      <w:r>
        <w:t>4.2 Les limites spécifiques à l'or</w:t>
      </w:r>
    </w:p>
    <w:p w14:paraId="08ABA14C" w14:textId="77777777" w:rsidR="009D378F" w:rsidRDefault="009D378F" w:rsidP="009D378F">
      <w:pPr>
        <w:pStyle w:val="NormalWeb"/>
      </w:pPr>
      <w:r>
        <w:t>Le cas de l'or est particulièrement complexe pour plusieurs raisons qui amplifient les risques d'erreur dans l'analyse des données miroir.</w:t>
      </w:r>
    </w:p>
    <w:p w14:paraId="3B57A5FE" w14:textId="77777777" w:rsidR="009D378F" w:rsidRDefault="009D378F" w:rsidP="009D378F">
      <w:pPr>
        <w:pStyle w:val="NormalWeb"/>
      </w:pPr>
      <w:r>
        <w:t xml:space="preserve">Premièrement, l'or est une marchandise </w:t>
      </w:r>
      <w:r>
        <w:rPr>
          <w:rStyle w:val="lev"/>
        </w:rPr>
        <w:t>recyclée</w:t>
      </w:r>
      <w:r>
        <w:t xml:space="preserve"> : une fraction non négligeable des flux d'or entre pays correspond à de l'or recyclé (bijoux, électronique) et non à de l'or nouvellement extrait. Les données douanières ne distinguent généralement pas les deux, ce qui peut gonfler artificiellement les estimations de production non déclarée.</w:t>
      </w:r>
    </w:p>
    <w:p w14:paraId="2C87E2C2" w14:textId="77777777" w:rsidR="009D378F" w:rsidRDefault="009D378F" w:rsidP="009D378F">
      <w:pPr>
        <w:pStyle w:val="NormalWeb"/>
      </w:pPr>
      <w:r>
        <w:t xml:space="preserve">Deuxièmement, l'or est une valeur </w:t>
      </w:r>
      <w:r>
        <w:rPr>
          <w:rStyle w:val="lev"/>
        </w:rPr>
        <w:t>refuge</w:t>
      </w:r>
      <w:r>
        <w:t xml:space="preserve"> : en période de crise économique ou de dépréciation monétaire, des agents économiques peuvent stocker de l'or ou transférer des réserves, créant des flux qui ne correspondent pas à des flux commerciaux au sens strict mais qui apparaissent dans les statistiques douanières.</w:t>
      </w:r>
    </w:p>
    <w:p w14:paraId="7412EC03" w14:textId="77777777" w:rsidR="009D378F" w:rsidRDefault="009D378F" w:rsidP="009D378F">
      <w:pPr>
        <w:pStyle w:val="NormalWeb"/>
      </w:pPr>
      <w:r>
        <w:t xml:space="preserve">Troisièmement, la </w:t>
      </w:r>
      <w:r>
        <w:rPr>
          <w:rStyle w:val="lev"/>
        </w:rPr>
        <w:t>concentration des flux vers les EAU</w:t>
      </w:r>
      <w:r>
        <w:t xml:space="preserve"> est en partie structurelle et légale. Dubaï est une plateforme mondiale de négoce d'or, et une fraction des importations émiraties d'or africain correspond à des transactions légales de grandes maisons de négoce qui </w:t>
      </w:r>
      <w:r>
        <w:lastRenderedPageBreak/>
        <w:t>s'approvisionnent légalement dans des mines africaines mais font transiter leur production par les EAU pour des raisons logistiques et fiscales.</w:t>
      </w:r>
    </w:p>
    <w:p w14:paraId="14F5307E" w14:textId="77777777" w:rsidR="009D378F" w:rsidRDefault="009D378F" w:rsidP="009D378F">
      <w:pPr>
        <w:pStyle w:val="NormalWeb"/>
      </w:pPr>
      <w:r>
        <w:t>Hong et Pak (2016) se sont penchés sur la méthode de comparaison des données des pays partenaires et ont soutenu que l'hypothèse d'absence de fausse facturation dans les pays partenaires ne peut pas être maintenue, et ont mis en doute la fiabilité de la méthode. Nitsch (2016) critique la méthodologie empirique de GFI, s'attaquant notamment aux déficiences de l'utilisation des statistiques miroir du commerce pour quantifier les sorties de capitaux dues à la fausse facturation commerciale.</w:t>
      </w:r>
    </w:p>
    <w:p w14:paraId="1D521FED" w14:textId="77777777" w:rsidR="009D378F" w:rsidRDefault="009D378F" w:rsidP="009D378F">
      <w:pPr>
        <w:pStyle w:val="Titre3"/>
      </w:pPr>
      <w:r>
        <w:t>4.3 La question de la sous-captation de la contrebande physique</w:t>
      </w:r>
    </w:p>
    <w:p w14:paraId="729F8BE1" w14:textId="77777777" w:rsidR="009D378F" w:rsidRDefault="009D378F" w:rsidP="009D378F">
      <w:pPr>
        <w:pStyle w:val="NormalWeb"/>
      </w:pPr>
      <w:r>
        <w:t>La méthode des données miroir a une limite conceptuelle fondamentale : elle ne peut détecter que les écarts entre données officiellement déclarées. Or, la contrebande « pure » — c'est-à-dire l'exportation clandestine d'or sans aucune déclaration dans aucun pays — est structurellement invisible à cette méthode. Si de l'or quitte le Sénégal en contrebande et entre au Mali en contrebande pour être ensuite exporté formellement depuis le Mali vers les EAU, il n'y aura ni écart Sénégal-EAU ni écart Sénégal-Mali dans les données miroir. C'est l'analyse production-export qui permettra de le détecter, à condition que les données de production soient elles-mêmes suffisamment fiables.</w:t>
      </w:r>
    </w:p>
    <w:p w14:paraId="6DC62D33" w14:textId="77777777" w:rsidR="009D378F" w:rsidRDefault="009D378F" w:rsidP="009D378F">
      <w:pPr>
        <w:pStyle w:val="NormalWeb"/>
      </w:pPr>
      <w:r>
        <w:t>Dans le cas sénégalais, c'est précisément l'approche retenue par SWISSAID, qui constitue donc une amélioration significative par rapport aux seules approches miroir bilatérales.</w:t>
      </w:r>
    </w:p>
    <w:p w14:paraId="66C0DE1C" w14:textId="77777777" w:rsidR="009D378F" w:rsidRDefault="009D378F" w:rsidP="009D378F">
      <w:pPr>
        <w:pStyle w:val="Titre3"/>
      </w:pPr>
      <w:r>
        <w:t>4.4 La question de la fiabilité des données de production EMAPE</w:t>
      </w:r>
    </w:p>
    <w:p w14:paraId="1015B742" w14:textId="77777777" w:rsidR="009D378F" w:rsidRDefault="009D378F" w:rsidP="009D378F">
      <w:pPr>
        <w:pStyle w:val="NormalWeb"/>
      </w:pPr>
      <w:r>
        <w:t>L'estimation de la production EMAPE non déclarée constitue elle-même un point de fragilité méthodologique. Dans le cas du Sénégal, l'estimation de 4 à 4,5 tonnes par an de production artisanale est utilisée comme référence, mais sa robustesse mérite d'être interrogée. Elle repose sur des enquêtes de terrain de portée limitée, des déclarations d'acteurs locaux et des extrapolations à partir de la consommation de mercure — une méthode indirecte qui comporte ses propres biais.</w:t>
      </w:r>
    </w:p>
    <w:p w14:paraId="2C2425B6" w14:textId="77777777" w:rsidR="009D378F" w:rsidRDefault="009D378F" w:rsidP="009D378F">
      <w:pPr>
        <w:pStyle w:val="NormalWeb"/>
      </w:pPr>
      <w:r>
        <w:t>Autour de 5,2 tonnes de mercure sont utilisées chaque année dans l'EMAPE au Sénégal — 3,9 tonnes dans la région de Kédougou et 1,3 tonne dans la région de Tambacounda. Si l'on sait qu'environ 2 à 3 grammes de mercure sont utilisés pour amalgamer 1 gramme d'or dans les méthodes artisanales courantes, cela permet d'obtenir un ordre de grandeur de la production artisanale, mais les ratios peuvent varier considérablement selon les techniques employées.</w:t>
      </w:r>
    </w:p>
    <w:p w14:paraId="01C77C94" w14:textId="77777777" w:rsidR="009D378F" w:rsidRDefault="009D378F" w:rsidP="009D378F">
      <w:pPr>
        <w:pStyle w:val="NormalWeb"/>
      </w:pPr>
      <w:r>
        <w:t>L'approche par télédétection développée par Ngom et al. (2020) offre une piste complémentaire pour estimer la surface des zones minées et en déduire des fourchettes de production, mais la conversion de données spatiales en tonnage d'or produit reste très incertaine en raison de la variabilité de la teneur en or des gisements.</w:t>
      </w:r>
    </w:p>
    <w:p w14:paraId="5D02FBDA" w14:textId="69D36F39" w:rsidR="009D378F" w:rsidRDefault="009D378F" w:rsidP="009D378F"/>
    <w:p w14:paraId="5684BBFA" w14:textId="77777777" w:rsidR="009D378F" w:rsidRDefault="009D378F" w:rsidP="009D378F">
      <w:pPr>
        <w:pStyle w:val="Titre2"/>
      </w:pPr>
      <w:r>
        <w:t>V. Implications pour la gouvernance et orientations pour la recherche future</w:t>
      </w:r>
    </w:p>
    <w:p w14:paraId="3D2C583C" w14:textId="77777777" w:rsidR="009D378F" w:rsidRDefault="009D378F" w:rsidP="009D378F">
      <w:pPr>
        <w:pStyle w:val="Titre3"/>
      </w:pPr>
      <w:r>
        <w:t>5.1 Les enjeux fiscaux et souverains</w:t>
      </w:r>
    </w:p>
    <w:p w14:paraId="6941DDA5" w14:textId="77777777" w:rsidR="009D378F" w:rsidRDefault="009D378F" w:rsidP="009D378F">
      <w:pPr>
        <w:pStyle w:val="NormalWeb"/>
      </w:pPr>
      <w:r>
        <w:lastRenderedPageBreak/>
        <w:t>La quantification des écarts entre production réelle et production déclarée n'est pas seulement un exercice académique : elle est le préalable à toute politique efficace de récupération de recettes fiscales. La valeur de l'or illégalement sorti du Sénégal entre 2013 et 2022 est estimée entre 2,38 et 2,71 milliards de dollars, soit une perte fiscale potentielle considérable pour l'État sénégalais.</w:t>
      </w:r>
    </w:p>
    <w:p w14:paraId="1EE0F9B5" w14:textId="77777777" w:rsidR="009D378F" w:rsidRDefault="009D378F" w:rsidP="009D378F">
      <w:pPr>
        <w:pStyle w:val="NormalWeb"/>
      </w:pPr>
      <w:r>
        <w:t>Cette situation a conduit le président Bassirou Diomaye Faye à instruire en 2024 la mise en place effective d'un Comptoir national de commercialisation de l'or, qualifié d'« impératif de souveraineté ». L'armée sénégalaise a par ailleurs intensifié ses opérations contre l'orpaillage illégal, avec 43 sites démantelés en mai 2025 dans la région de Kédougou.</w:t>
      </w:r>
    </w:p>
    <w:p w14:paraId="37D84469" w14:textId="77777777" w:rsidR="009D378F" w:rsidRDefault="009D378F" w:rsidP="009D378F">
      <w:pPr>
        <w:pStyle w:val="Titre3"/>
      </w:pPr>
      <w:r>
        <w:t>5.2 Les tensions entre formalisation et accessibilité</w:t>
      </w:r>
    </w:p>
    <w:p w14:paraId="7EC537B3" w14:textId="77777777" w:rsidR="009D378F" w:rsidRDefault="009D378F" w:rsidP="009D378F">
      <w:pPr>
        <w:pStyle w:val="NormalWeb"/>
      </w:pPr>
      <w:r>
        <w:t>Les travaux de Hilson et al. (2017), dans Society &amp; Natural Resources, montrent que l'EMAPE est profondément encastrée dans des structures d'autorité coutumière au Sénégal, et que les politiques de formalisation top-down ont généralement échoué à modifier substantiellement les comportements des mineurs artisanaux. Les efforts de formalisation de l'EMAPE sous des cadres légaux et d'amélioration de ses pratiques environnementales et sanitaires ont largement échoué en raison de mesures politiques descendantes qui rendent le changement compliqué et contraignant pour les mineurs à faibles ressources.</w:t>
      </w:r>
    </w:p>
    <w:p w14:paraId="6EF6B9C6" w14:textId="77777777" w:rsidR="009D378F" w:rsidRDefault="009D378F" w:rsidP="009D378F">
      <w:pPr>
        <w:pStyle w:val="NormalWeb"/>
      </w:pPr>
      <w:r>
        <w:t>Cette littérature invite à reconsidérer l'efficacité des seules approches répressives ou fiscales. La réduction de la taxe à l'exportation de 4 %, recommandée par SWISSAID et l'ISS-CHEDS, va dans le sens d'une incitation positive à la formalisation en rendant les comptoirs officiels plus compétitifs par rapport aux circuits maliens.</w:t>
      </w:r>
    </w:p>
    <w:p w14:paraId="0A41C291" w14:textId="77777777" w:rsidR="009D378F" w:rsidRDefault="009D378F" w:rsidP="009D378F">
      <w:pPr>
        <w:pStyle w:val="Titre3"/>
      </w:pPr>
      <w:r>
        <w:t>5.3 Dimensions sécuritaires et régionales</w:t>
      </w:r>
    </w:p>
    <w:p w14:paraId="17D1DBDE" w14:textId="77777777" w:rsidR="009D378F" w:rsidRDefault="009D378F" w:rsidP="009D378F">
      <w:pPr>
        <w:pStyle w:val="NormalWeb"/>
      </w:pPr>
      <w:r>
        <w:t>Le rapport ISS-CHEDS de 2021 a établi un lien entre l'exploitation minière artisanale non formalisée de Kédougou et les risques d'expansion de l'extrémisme violent. L'absence de traçabilité des ressources qui financent l'activité aurifère et de celles qui découlent de la commercialisation de l'or alimente les risques de blanchiment de capitaux et de financement du terrorisme.</w:t>
      </w:r>
    </w:p>
    <w:p w14:paraId="68EC870C" w14:textId="77777777" w:rsidR="009D378F" w:rsidRDefault="009D378F" w:rsidP="009D378F">
      <w:pPr>
        <w:pStyle w:val="NormalWeb"/>
      </w:pPr>
      <w:r>
        <w:t>Dans le contexte régional actuel, marqué par la déstabilisation du Sahel et la présence de groupes armés au Mali et au Burkina Faso, la porosité de la frontière orientale du Sénégal représente un vecteur de risque sécuritaire que les seules analyses économiques ne suffisent pas à saisir. La dimension sécuritaire de l'EMAPE sénégalaise mérite donc d'être intégrée dans les cadres d'analyse multidimensionnels.</w:t>
      </w:r>
    </w:p>
    <w:p w14:paraId="5505C86D" w14:textId="77777777" w:rsidR="009D378F" w:rsidRDefault="009D378F" w:rsidP="009D378F">
      <w:pPr>
        <w:pStyle w:val="Titre3"/>
      </w:pPr>
      <w:r>
        <w:t>5.4 Orientations pour la recherche future</w:t>
      </w:r>
    </w:p>
    <w:p w14:paraId="59E6DB1B" w14:textId="77777777" w:rsidR="009D378F" w:rsidRDefault="009D378F" w:rsidP="009D378F">
      <w:pPr>
        <w:pStyle w:val="NormalWeb"/>
      </w:pPr>
      <w:r>
        <w:t>Plusieurs lacunes dans la littérature existante appellent des travaux futurs. En premier lieu, il manque une étude économétrique rigoureuse des déterminants de la non-déclaration dans l'EMAPE sénégalaise, qui permette d'identifier les facteurs — fiscaux, institutionnels, géographiques, ethniques — qui expliquent le recours aux circuits informels et d'en mesurer l'élasticité aux politiques publiques.</w:t>
      </w:r>
    </w:p>
    <w:p w14:paraId="08708F07" w14:textId="77777777" w:rsidR="009D378F" w:rsidRDefault="009D378F" w:rsidP="009D378F">
      <w:pPr>
        <w:pStyle w:val="NormalWeb"/>
      </w:pPr>
      <w:r>
        <w:t xml:space="preserve">En deuxième lieu, la fiabilité des estimations de production EMAPE doit être améliorée par des méthodes de triangulation plus systématiques, combinant enquêtes de terrain, données de </w:t>
      </w:r>
      <w:r>
        <w:lastRenderedPageBreak/>
        <w:t>consommation de mercure, télédétection et entretiens avec les acteurs de la chaîne d'approvisionnement.</w:t>
      </w:r>
    </w:p>
    <w:p w14:paraId="612BA874" w14:textId="77777777" w:rsidR="009D378F" w:rsidRDefault="009D378F" w:rsidP="009D378F">
      <w:pPr>
        <w:pStyle w:val="NormalWeb"/>
      </w:pPr>
      <w:r>
        <w:t>En troisième lieu, l'analyse des données miroir gagnerait à être déclinée à un niveau de désagrégation plus fin — idéalement par site minier ou par district — pour identifier les variations spatiales dans les flux informels. La base africangoldreport.org développée par SWISSAID constitue une initiative prometteuse dans cette direction.</w:t>
      </w:r>
    </w:p>
    <w:p w14:paraId="62EA4AB9" w14:textId="77777777" w:rsidR="009D378F" w:rsidRDefault="009D378F" w:rsidP="009D378F">
      <w:pPr>
        <w:pStyle w:val="NormalWeb"/>
      </w:pPr>
      <w:r>
        <w:t>Enfin, une réflexion méthodologique approfondie est nécessaire sur la manière de tenir compte du transit malien dans les estimations de l'EMAPE sénégalaise. Des travaux comme ceux du document SWISSAID sur le Mali, qui estime que jusqu'à 80-90 % de l'or sénégalais transite par ce pays, invitent à construire des modèles de flux régionaux intégrés plutôt que des analyses bilatérales pays par pays.</w:t>
      </w:r>
    </w:p>
    <w:p w14:paraId="51417A37" w14:textId="77777777" w:rsidR="009D378F" w:rsidRDefault="009D378F" w:rsidP="009D378F">
      <w:r>
        <w:pict w14:anchorId="3CC649E1">
          <v:rect id="_x0000_i1036" style="width:0;height:1.5pt" o:hralign="center" o:hrstd="t" o:hr="t" fillcolor="#a0a0a0" stroked="f"/>
        </w:pict>
      </w:r>
    </w:p>
    <w:p w14:paraId="57FA761B" w14:textId="77777777" w:rsidR="009D378F" w:rsidRDefault="009D378F" w:rsidP="009D378F">
      <w:pPr>
        <w:pStyle w:val="Titre2"/>
      </w:pPr>
      <w:r>
        <w:t>Conclusion</w:t>
      </w:r>
    </w:p>
    <w:p w14:paraId="3E91D9C0" w14:textId="77777777" w:rsidR="009D378F" w:rsidRDefault="009D378F" w:rsidP="009D378F">
      <w:pPr>
        <w:pStyle w:val="NormalWeb"/>
      </w:pPr>
      <w:r>
        <w:t>La littérature sur la production d'or d'EMAPE au Sénégal, bien que croissante, reste marquée par de fortes incertitudes quantitatives et des lacunes méthodologiques que les travaux récents — notamment l'étude SWISSAID 2024 — commencent seulement à combler. Les données miroir appliquées aux statistiques douanières fournissent une approche robuste pour identifier l'ampleur des flux non déclarés, mais elles doivent être complétées par une analyse de la composante production pour capturer la contrebande physique qui échappe à toute trace documentaire.</w:t>
      </w:r>
    </w:p>
    <w:p w14:paraId="5DB6BDF4" w14:textId="20ED9970" w:rsidR="009D378F" w:rsidRDefault="009D378F" w:rsidP="009D378F">
      <w:pPr>
        <w:pStyle w:val="NormalWeb"/>
      </w:pPr>
      <w:r>
        <w:t>Le cas sénégalais illustre de manière paradigmatique les tensions entre trois logiques : une logique économique informelle qui offre des moyens de subsistance à des dizaines de milliers de personnes dans l'une des régions les plus pauvres du pays ; une logique fiscale et souverainiste qui voit dans l'EMAPE non déclarée une ponction majeure sur les ressources nationales ; et une logique sécuritaire qui perçoit les circuits informels comme des vecteurs potentiels de financement de la violence. Ces trois logiques ne sont ni alignées ni facilement réconciliables, et toute politique publique qui entendrait traiter sérieusement la question de la production EMAPE devra nécessairement les articuler de manière cohérente.</w:t>
      </w:r>
    </w:p>
    <w:p w14:paraId="46A229A9" w14:textId="77777777" w:rsidR="009D378F" w:rsidRDefault="009D378F" w:rsidP="009D378F">
      <w:pPr>
        <w:pStyle w:val="Titre2"/>
      </w:pPr>
      <w:r>
        <w:t>Références bibliographiques sélectives</w:t>
      </w:r>
    </w:p>
    <w:p w14:paraId="56250113" w14:textId="77777777" w:rsidR="009D378F" w:rsidRDefault="009D378F" w:rsidP="009D378F">
      <w:pPr>
        <w:pStyle w:val="NormalWeb"/>
      </w:pPr>
      <w:r>
        <w:rPr>
          <w:rStyle w:val="lev"/>
        </w:rPr>
        <w:t>Études et rapports institutionnels</w:t>
      </w:r>
    </w:p>
    <w:p w14:paraId="64A71715" w14:textId="77777777" w:rsidR="009D378F" w:rsidRDefault="009D378F" w:rsidP="009D378F">
      <w:pPr>
        <w:numPr>
          <w:ilvl w:val="0"/>
          <w:numId w:val="4"/>
        </w:numPr>
        <w:spacing w:before="100" w:beforeAutospacing="1" w:after="100" w:afterAutospacing="1" w:line="240" w:lineRule="auto"/>
        <w:jc w:val="left"/>
      </w:pPr>
      <w:r>
        <w:t xml:space="preserve">CNUCED (2020). </w:t>
      </w:r>
      <w:r>
        <w:rPr>
          <w:rStyle w:val="Accentuation"/>
        </w:rPr>
        <w:t>Les flux financiers illicites et le développement durable en Afrique</w:t>
      </w:r>
      <w:r>
        <w:t>. Rapport sur le développement économique en Afrique, Genève : ONU.</w:t>
      </w:r>
    </w:p>
    <w:p w14:paraId="792D7105" w14:textId="77777777" w:rsidR="009D378F" w:rsidRDefault="009D378F" w:rsidP="009D378F">
      <w:pPr>
        <w:numPr>
          <w:ilvl w:val="0"/>
          <w:numId w:val="4"/>
        </w:numPr>
        <w:spacing w:before="100" w:beforeAutospacing="1" w:after="100" w:afterAutospacing="1" w:line="240" w:lineRule="auto"/>
        <w:jc w:val="left"/>
      </w:pPr>
      <w:r>
        <w:t xml:space="preserve">SWISSAID (2024). </w:t>
      </w:r>
      <w:r>
        <w:rPr>
          <w:rStyle w:val="Accentuation"/>
        </w:rPr>
        <w:t>Sur la piste de l'or africain : quantifier la production et le commerce pour lutter contre les flux illicites</w:t>
      </w:r>
      <w:r>
        <w:t>. Berne : SWISSAID.</w:t>
      </w:r>
    </w:p>
    <w:p w14:paraId="5F55B856" w14:textId="77777777" w:rsidR="009D378F" w:rsidRDefault="009D378F" w:rsidP="009D378F">
      <w:pPr>
        <w:numPr>
          <w:ilvl w:val="0"/>
          <w:numId w:val="4"/>
        </w:numPr>
        <w:spacing w:before="100" w:beforeAutospacing="1" w:after="100" w:afterAutospacing="1" w:line="240" w:lineRule="auto"/>
        <w:jc w:val="left"/>
      </w:pPr>
      <w:r>
        <w:t xml:space="preserve">ISS &amp; CHEDS (2021). </w:t>
      </w:r>
      <w:r>
        <w:rPr>
          <w:rStyle w:val="Accentuation"/>
        </w:rPr>
        <w:t>Répondre aux menaces à la sécurité humaine liées à l'exploitation minière dans les régions de Kédougou et de Dakana</w:t>
      </w:r>
      <w:r>
        <w:t>. Dakar.</w:t>
      </w:r>
    </w:p>
    <w:p w14:paraId="768DAE41" w14:textId="77777777" w:rsidR="009D378F" w:rsidRPr="009D378F" w:rsidRDefault="009D378F" w:rsidP="009D378F">
      <w:pPr>
        <w:numPr>
          <w:ilvl w:val="0"/>
          <w:numId w:val="4"/>
        </w:numPr>
        <w:spacing w:before="100" w:beforeAutospacing="1" w:after="100" w:afterAutospacing="1" w:line="240" w:lineRule="auto"/>
        <w:jc w:val="left"/>
        <w:rPr>
          <w:lang w:val="en-US"/>
        </w:rPr>
      </w:pPr>
      <w:r w:rsidRPr="009D378F">
        <w:rPr>
          <w:lang w:val="en-US"/>
        </w:rPr>
        <w:t xml:space="preserve">USGS (2019). </w:t>
      </w:r>
      <w:r w:rsidRPr="009D378F">
        <w:rPr>
          <w:rStyle w:val="Accentuation"/>
          <w:lang w:val="en-US"/>
        </w:rPr>
        <w:t>The Mineral Industry of Senegal in 2019</w:t>
      </w:r>
      <w:r w:rsidRPr="009D378F">
        <w:rPr>
          <w:lang w:val="en-US"/>
        </w:rPr>
        <w:t>. Washington : U.S. Geological Survey.</w:t>
      </w:r>
    </w:p>
    <w:p w14:paraId="3462ECD9" w14:textId="77777777" w:rsidR="009D378F" w:rsidRDefault="009D378F" w:rsidP="009D378F">
      <w:pPr>
        <w:numPr>
          <w:ilvl w:val="0"/>
          <w:numId w:val="4"/>
        </w:numPr>
        <w:spacing w:before="100" w:beforeAutospacing="1" w:after="100" w:afterAutospacing="1" w:line="240" w:lineRule="auto"/>
        <w:jc w:val="left"/>
      </w:pPr>
      <w:r>
        <w:t xml:space="preserve">EITI (2024). </w:t>
      </w:r>
      <w:r>
        <w:rPr>
          <w:rStyle w:val="Accentuation"/>
        </w:rPr>
        <w:t>Rapport de réconciliation sénégalais, premier semestre 2024</w:t>
      </w:r>
      <w:r>
        <w:t>. Dakar : CN-ITIE.</w:t>
      </w:r>
    </w:p>
    <w:p w14:paraId="522516C6" w14:textId="77777777" w:rsidR="009D378F" w:rsidRDefault="009D378F" w:rsidP="009D378F">
      <w:pPr>
        <w:pStyle w:val="NormalWeb"/>
      </w:pPr>
      <w:r>
        <w:rPr>
          <w:rStyle w:val="lev"/>
        </w:rPr>
        <w:lastRenderedPageBreak/>
        <w:t>Articles académiques</w:t>
      </w:r>
    </w:p>
    <w:p w14:paraId="73E790E1" w14:textId="77777777" w:rsidR="009D378F" w:rsidRDefault="009D378F" w:rsidP="009D378F">
      <w:pPr>
        <w:numPr>
          <w:ilvl w:val="0"/>
          <w:numId w:val="5"/>
        </w:numPr>
        <w:spacing w:before="100" w:beforeAutospacing="1" w:after="100" w:afterAutospacing="1" w:line="240" w:lineRule="auto"/>
        <w:jc w:val="left"/>
      </w:pPr>
      <w:r w:rsidRPr="009D378F">
        <w:rPr>
          <w:lang w:val="en-US"/>
        </w:rPr>
        <w:t xml:space="preserve">Ngom, C. et al. (2020). "Mapping Artisanal and Small‐Scale Gold Mining in Senegal Using Sentinel 2 Data." </w:t>
      </w:r>
      <w:r>
        <w:rPr>
          <w:rStyle w:val="Accentuation"/>
        </w:rPr>
        <w:t>GeoHealth</w:t>
      </w:r>
      <w:r>
        <w:t>, AGU/Wiley.</w:t>
      </w:r>
    </w:p>
    <w:p w14:paraId="15ADF79C" w14:textId="77777777" w:rsidR="009D378F" w:rsidRDefault="009D378F" w:rsidP="009D378F">
      <w:pPr>
        <w:numPr>
          <w:ilvl w:val="0"/>
          <w:numId w:val="5"/>
        </w:numPr>
        <w:spacing w:before="100" w:beforeAutospacing="1" w:after="100" w:afterAutospacing="1" w:line="240" w:lineRule="auto"/>
        <w:jc w:val="left"/>
      </w:pPr>
      <w:r w:rsidRPr="009D378F">
        <w:rPr>
          <w:lang w:val="en-US"/>
        </w:rPr>
        <w:t xml:space="preserve">Hilson, G., Hilson, A. &amp; Adu-Darko, E. (2017). "Artisanal and Small-Scale Gold Mining in Senegal: Livelihoods, Customary Authority, and Formalization." </w:t>
      </w:r>
      <w:r>
        <w:rPr>
          <w:rStyle w:val="Accentuation"/>
        </w:rPr>
        <w:t>Society &amp; Natural Resources</w:t>
      </w:r>
      <w:r>
        <w:t>, 30(8).</w:t>
      </w:r>
    </w:p>
    <w:p w14:paraId="4E00D67D" w14:textId="77777777" w:rsidR="009D378F" w:rsidRDefault="009D378F" w:rsidP="009D378F">
      <w:pPr>
        <w:numPr>
          <w:ilvl w:val="0"/>
          <w:numId w:val="5"/>
        </w:numPr>
        <w:spacing w:before="100" w:beforeAutospacing="1" w:after="100" w:afterAutospacing="1" w:line="240" w:lineRule="auto"/>
        <w:jc w:val="left"/>
      </w:pPr>
      <w:r w:rsidRPr="009D378F">
        <w:rPr>
          <w:lang w:val="en-US"/>
        </w:rPr>
        <w:t xml:space="preserve">Gara, M. et al. (2019). "Magic mirror in my hand … How trade mirror statistics can help us detect illegal financial flows." </w:t>
      </w:r>
      <w:r>
        <w:rPr>
          <w:rStyle w:val="Accentuation"/>
        </w:rPr>
        <w:t>The World Economy</w:t>
      </w:r>
      <w:r>
        <w:t>, Wiley.</w:t>
      </w:r>
    </w:p>
    <w:p w14:paraId="113169CE" w14:textId="77777777" w:rsidR="009D378F" w:rsidRDefault="009D378F" w:rsidP="009D378F">
      <w:pPr>
        <w:numPr>
          <w:ilvl w:val="0"/>
          <w:numId w:val="5"/>
        </w:numPr>
        <w:spacing w:before="100" w:beforeAutospacing="1" w:after="100" w:afterAutospacing="1" w:line="240" w:lineRule="auto"/>
        <w:jc w:val="left"/>
      </w:pPr>
      <w:r w:rsidRPr="009D378F">
        <w:rPr>
          <w:lang w:val="en-US"/>
        </w:rPr>
        <w:t xml:space="preserve">Hong, P. &amp; Pak, S. (2016). "Estimates of trade misinvoicing and their implications for monitoring illicit financial flows." </w:t>
      </w:r>
      <w:r>
        <w:rPr>
          <w:rStyle w:val="Accentuation"/>
        </w:rPr>
        <w:t>Research in International Business and Finance</w:t>
      </w:r>
      <w:r>
        <w:t>.</w:t>
      </w:r>
    </w:p>
    <w:p w14:paraId="2FB4C8FF" w14:textId="77777777" w:rsidR="009D378F" w:rsidRDefault="009D378F" w:rsidP="009D378F">
      <w:pPr>
        <w:numPr>
          <w:ilvl w:val="0"/>
          <w:numId w:val="5"/>
        </w:numPr>
        <w:spacing w:before="100" w:beforeAutospacing="1" w:after="100" w:afterAutospacing="1" w:line="240" w:lineRule="auto"/>
        <w:jc w:val="left"/>
      </w:pPr>
      <w:r w:rsidRPr="009D378F">
        <w:rPr>
          <w:lang w:val="en-US"/>
        </w:rPr>
        <w:t xml:space="preserve">Nitsch, V. (2016). "Trillion dollar estimates: illicit financial flows from developing countries." </w:t>
      </w:r>
      <w:r>
        <w:rPr>
          <w:rStyle w:val="Accentuation"/>
        </w:rPr>
        <w:t>Darmstadt Discussion Papers in Economics</w:t>
      </w:r>
      <w:r>
        <w:t>.</w:t>
      </w:r>
    </w:p>
    <w:p w14:paraId="458FAB37" w14:textId="77777777" w:rsidR="009D378F" w:rsidRDefault="009D378F" w:rsidP="009D378F">
      <w:pPr>
        <w:numPr>
          <w:ilvl w:val="0"/>
          <w:numId w:val="5"/>
        </w:numPr>
        <w:spacing w:before="100" w:beforeAutospacing="1" w:after="100" w:afterAutospacing="1" w:line="240" w:lineRule="auto"/>
        <w:jc w:val="left"/>
      </w:pPr>
      <w:r w:rsidRPr="009D378F">
        <w:rPr>
          <w:lang w:val="en-US"/>
        </w:rPr>
        <w:t xml:space="preserve">Schuster, C. &amp; Davis, J. (2020). "Old dog, new tricks? The fitness of mirror trade analysis to detect illicit financial flows." </w:t>
      </w:r>
      <w:r>
        <w:rPr>
          <w:rStyle w:val="Accentuation"/>
        </w:rPr>
        <w:t>UNCTAD Background Paper</w:t>
      </w:r>
      <w:r>
        <w:t>.</w:t>
      </w:r>
    </w:p>
    <w:p w14:paraId="33A828E2" w14:textId="77777777" w:rsidR="009D378F" w:rsidRDefault="009D378F" w:rsidP="009D378F">
      <w:pPr>
        <w:pStyle w:val="NormalWeb"/>
      </w:pPr>
      <w:r>
        <w:rPr>
          <w:rStyle w:val="lev"/>
        </w:rPr>
        <w:t>Articles de presse et analyses</w:t>
      </w:r>
    </w:p>
    <w:p w14:paraId="55354004" w14:textId="77777777" w:rsidR="009D378F" w:rsidRDefault="009D378F" w:rsidP="009D378F">
      <w:pPr>
        <w:numPr>
          <w:ilvl w:val="0"/>
          <w:numId w:val="6"/>
        </w:numPr>
        <w:spacing w:before="100" w:beforeAutospacing="1" w:after="100" w:afterAutospacing="1" w:line="240" w:lineRule="auto"/>
        <w:jc w:val="left"/>
      </w:pPr>
      <w:r w:rsidRPr="009D378F">
        <w:rPr>
          <w:lang w:val="en-US"/>
        </w:rPr>
        <w:t xml:space="preserve">Reuters (2019). "Gold worth billions smuggled out of Africa." </w:t>
      </w:r>
      <w:r>
        <w:t>Enquête basée sur données UN Comtrade, avril 2019.</w:t>
      </w:r>
    </w:p>
    <w:p w14:paraId="76E5B217" w14:textId="77777777" w:rsidR="009D378F" w:rsidRDefault="009D378F" w:rsidP="009D378F">
      <w:pPr>
        <w:numPr>
          <w:ilvl w:val="0"/>
          <w:numId w:val="6"/>
        </w:numPr>
        <w:spacing w:before="100" w:beforeAutospacing="1" w:after="100" w:afterAutospacing="1" w:line="240" w:lineRule="auto"/>
        <w:jc w:val="left"/>
      </w:pPr>
      <w:r w:rsidRPr="009D378F">
        <w:rPr>
          <w:lang w:val="en-US"/>
        </w:rPr>
        <w:t xml:space="preserve">Bloomberg (2021). "Where Does Gold Come From in Africa? Suspected Smuggling to Dubai Rings Alarms." </w:t>
      </w:r>
      <w:r>
        <w:t>28 décembre 2021.</w:t>
      </w:r>
    </w:p>
    <w:p w14:paraId="64EE17FC" w14:textId="77777777" w:rsidR="009D378F" w:rsidRPr="009D378F" w:rsidRDefault="009D378F" w:rsidP="009D378F">
      <w:pPr>
        <w:numPr>
          <w:ilvl w:val="0"/>
          <w:numId w:val="6"/>
        </w:numPr>
        <w:spacing w:before="100" w:beforeAutospacing="1" w:after="100" w:afterAutospacing="1" w:line="240" w:lineRule="auto"/>
        <w:jc w:val="left"/>
        <w:rPr>
          <w:lang w:val="en-US"/>
        </w:rPr>
      </w:pPr>
      <w:r w:rsidRPr="009D378F">
        <w:rPr>
          <w:lang w:val="en-US"/>
        </w:rPr>
        <w:t>ISS Africa (2022). "Going for gold leaves Senegal's artisanal mining communities poorer."</w:t>
      </w:r>
    </w:p>
    <w:p w14:paraId="1D1B13AA" w14:textId="77777777" w:rsidR="009D378F" w:rsidRDefault="009D378F" w:rsidP="009D378F">
      <w:pPr>
        <w:numPr>
          <w:ilvl w:val="0"/>
          <w:numId w:val="6"/>
        </w:numPr>
        <w:spacing w:before="100" w:beforeAutospacing="1" w:after="100" w:afterAutospacing="1" w:line="240" w:lineRule="auto"/>
        <w:jc w:val="left"/>
      </w:pPr>
      <w:r>
        <w:t>ISS / ENACT Africa. "Mali-Dubaï : l'axe du commerce illégal de l'or en Afrique de l'Ouest."</w:t>
      </w:r>
    </w:p>
    <w:p w14:paraId="2CBCF167" w14:textId="77777777" w:rsidR="00911BEA" w:rsidRDefault="00911BEA"/>
    <w:p w14:paraId="22E39D9D" w14:textId="112253C6" w:rsidR="00B03B29" w:rsidRDefault="00B03B29"/>
    <w:p w14:paraId="6CF48E32" w14:textId="77777777" w:rsidR="00B03B29" w:rsidRDefault="00B03B29"/>
    <w:sectPr w:rsidR="00B03B2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4A0187"/>
    <w:multiLevelType w:val="multilevel"/>
    <w:tmpl w:val="780A7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FA6D02"/>
    <w:multiLevelType w:val="multilevel"/>
    <w:tmpl w:val="61CE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307B2F"/>
    <w:multiLevelType w:val="multilevel"/>
    <w:tmpl w:val="0E58C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C27778"/>
    <w:multiLevelType w:val="multilevel"/>
    <w:tmpl w:val="327C1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F10DD1"/>
    <w:multiLevelType w:val="hybridMultilevel"/>
    <w:tmpl w:val="D8EA381C"/>
    <w:lvl w:ilvl="0" w:tplc="9C9A3C6E">
      <w:start w:val="1"/>
      <w:numFmt w:val="bullet"/>
      <w:lvlText w:val=""/>
      <w:lvlJc w:val="left"/>
      <w:pPr>
        <w:ind w:left="720" w:hanging="360"/>
      </w:pPr>
      <w:rPr>
        <w:rFonts w:ascii="Symbol" w:eastAsiaTheme="minorHAnsi" w:hAnsi="Symbol" w:cstheme="minorBidi" w:hint="default"/>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7F83EF6"/>
    <w:multiLevelType w:val="multilevel"/>
    <w:tmpl w:val="67DE4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2"/>
  </w:num>
  <w:num w:numId="4">
    <w:abstractNumId w:val="3"/>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B29"/>
    <w:rsid w:val="00436B19"/>
    <w:rsid w:val="006F28C4"/>
    <w:rsid w:val="00726001"/>
    <w:rsid w:val="00911BEA"/>
    <w:rsid w:val="009D378F"/>
    <w:rsid w:val="00B03B29"/>
    <w:rsid w:val="00FE59D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1BFB7"/>
  <w15:chartTrackingRefBased/>
  <w15:docId w15:val="{3106BF0D-2614-4D91-B8AB-B9AE77455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3B29"/>
    <w:pPr>
      <w:spacing w:line="360" w:lineRule="auto"/>
      <w:jc w:val="both"/>
    </w:pPr>
    <w:rPr>
      <w:rFonts w:ascii="Times New Roman" w:hAnsi="Times New Roman"/>
      <w:sz w:val="24"/>
    </w:rPr>
  </w:style>
  <w:style w:type="paragraph" w:styleId="Titre1">
    <w:name w:val="heading 1"/>
    <w:basedOn w:val="Normal"/>
    <w:next w:val="Normal"/>
    <w:link w:val="Titre1Car"/>
    <w:uiPriority w:val="9"/>
    <w:qFormat/>
    <w:rsid w:val="009D378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semiHidden/>
    <w:unhideWhenUsed/>
    <w:qFormat/>
    <w:rsid w:val="009D378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link w:val="Titre3Car"/>
    <w:uiPriority w:val="9"/>
    <w:qFormat/>
    <w:rsid w:val="00B03B29"/>
    <w:pPr>
      <w:spacing w:before="100" w:beforeAutospacing="1" w:after="100" w:afterAutospacing="1" w:line="240" w:lineRule="auto"/>
      <w:outlineLvl w:val="2"/>
    </w:pPr>
    <w:rPr>
      <w:rFonts w:eastAsia="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B03B29"/>
    <w:pPr>
      <w:spacing w:before="100" w:beforeAutospacing="1" w:after="100" w:afterAutospacing="1" w:line="240" w:lineRule="auto"/>
    </w:pPr>
    <w:rPr>
      <w:rFonts w:eastAsia="Times New Roman" w:cs="Times New Roman"/>
      <w:szCs w:val="24"/>
      <w:lang w:eastAsia="fr-FR"/>
    </w:rPr>
  </w:style>
  <w:style w:type="character" w:styleId="lev">
    <w:name w:val="Strong"/>
    <w:basedOn w:val="Policepardfaut"/>
    <w:uiPriority w:val="22"/>
    <w:qFormat/>
    <w:rsid w:val="00B03B29"/>
    <w:rPr>
      <w:b/>
      <w:bCs/>
    </w:rPr>
  </w:style>
  <w:style w:type="character" w:customStyle="1" w:styleId="Titre3Car">
    <w:name w:val="Titre 3 Car"/>
    <w:basedOn w:val="Policepardfaut"/>
    <w:link w:val="Titre3"/>
    <w:uiPriority w:val="9"/>
    <w:rsid w:val="00B03B29"/>
    <w:rPr>
      <w:rFonts w:ascii="Times New Roman" w:eastAsia="Times New Roman" w:hAnsi="Times New Roman" w:cs="Times New Roman"/>
      <w:b/>
      <w:bCs/>
      <w:sz w:val="27"/>
      <w:szCs w:val="27"/>
      <w:lang w:eastAsia="fr-FR"/>
    </w:rPr>
  </w:style>
  <w:style w:type="paragraph" w:styleId="Paragraphedeliste">
    <w:name w:val="List Paragraph"/>
    <w:basedOn w:val="Normal"/>
    <w:uiPriority w:val="34"/>
    <w:qFormat/>
    <w:rsid w:val="00B03B29"/>
    <w:pPr>
      <w:ind w:left="720"/>
      <w:contextualSpacing/>
    </w:pPr>
  </w:style>
  <w:style w:type="character" w:styleId="Lienhypertexte">
    <w:name w:val="Hyperlink"/>
    <w:basedOn w:val="Policepardfaut"/>
    <w:uiPriority w:val="99"/>
    <w:unhideWhenUsed/>
    <w:rsid w:val="00911BEA"/>
    <w:rPr>
      <w:color w:val="0563C1" w:themeColor="hyperlink"/>
      <w:u w:val="single"/>
    </w:rPr>
  </w:style>
  <w:style w:type="character" w:styleId="Mentionnonrsolue">
    <w:name w:val="Unresolved Mention"/>
    <w:basedOn w:val="Policepardfaut"/>
    <w:uiPriority w:val="99"/>
    <w:semiHidden/>
    <w:unhideWhenUsed/>
    <w:rsid w:val="00911BEA"/>
    <w:rPr>
      <w:color w:val="605E5C"/>
      <w:shd w:val="clear" w:color="auto" w:fill="E1DFDD"/>
    </w:rPr>
  </w:style>
  <w:style w:type="character" w:customStyle="1" w:styleId="Titre1Car">
    <w:name w:val="Titre 1 Car"/>
    <w:basedOn w:val="Policepardfaut"/>
    <w:link w:val="Titre1"/>
    <w:uiPriority w:val="9"/>
    <w:rsid w:val="009D378F"/>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semiHidden/>
    <w:rsid w:val="009D378F"/>
    <w:rPr>
      <w:rFonts w:asciiTheme="majorHAnsi" w:eastAsiaTheme="majorEastAsia" w:hAnsiTheme="majorHAnsi" w:cstheme="majorBidi"/>
      <w:color w:val="2F5496" w:themeColor="accent1" w:themeShade="BF"/>
      <w:sz w:val="26"/>
      <w:szCs w:val="26"/>
    </w:rPr>
  </w:style>
  <w:style w:type="character" w:styleId="Accentuation">
    <w:name w:val="Emphasis"/>
    <w:basedOn w:val="Policepardfaut"/>
    <w:uiPriority w:val="20"/>
    <w:qFormat/>
    <w:rsid w:val="009D378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5650994">
      <w:bodyDiv w:val="1"/>
      <w:marLeft w:val="0"/>
      <w:marRight w:val="0"/>
      <w:marTop w:val="0"/>
      <w:marBottom w:val="0"/>
      <w:divBdr>
        <w:top w:val="none" w:sz="0" w:space="0" w:color="auto"/>
        <w:left w:val="none" w:sz="0" w:space="0" w:color="auto"/>
        <w:bottom w:val="none" w:sz="0" w:space="0" w:color="auto"/>
        <w:right w:val="none" w:sz="0" w:space="0" w:color="auto"/>
      </w:divBdr>
      <w:divsChild>
        <w:div w:id="1726368928">
          <w:marLeft w:val="0"/>
          <w:marRight w:val="0"/>
          <w:marTop w:val="0"/>
          <w:marBottom w:val="0"/>
          <w:divBdr>
            <w:top w:val="none" w:sz="0" w:space="0" w:color="auto"/>
            <w:left w:val="none" w:sz="0" w:space="0" w:color="auto"/>
            <w:bottom w:val="none" w:sz="0" w:space="0" w:color="auto"/>
            <w:right w:val="none" w:sz="0" w:space="0" w:color="auto"/>
          </w:divBdr>
          <w:divsChild>
            <w:div w:id="598567949">
              <w:marLeft w:val="0"/>
              <w:marRight w:val="0"/>
              <w:marTop w:val="0"/>
              <w:marBottom w:val="0"/>
              <w:divBdr>
                <w:top w:val="none" w:sz="0" w:space="0" w:color="auto"/>
                <w:left w:val="none" w:sz="0" w:space="0" w:color="auto"/>
                <w:bottom w:val="none" w:sz="0" w:space="0" w:color="auto"/>
                <w:right w:val="none" w:sz="0" w:space="0" w:color="auto"/>
              </w:divBdr>
              <w:divsChild>
                <w:div w:id="1269506548">
                  <w:marLeft w:val="0"/>
                  <w:marRight w:val="0"/>
                  <w:marTop w:val="0"/>
                  <w:marBottom w:val="0"/>
                  <w:divBdr>
                    <w:top w:val="none" w:sz="0" w:space="0" w:color="auto"/>
                    <w:left w:val="none" w:sz="0" w:space="0" w:color="auto"/>
                    <w:bottom w:val="none" w:sz="0" w:space="0" w:color="auto"/>
                    <w:right w:val="none" w:sz="0" w:space="0" w:color="auto"/>
                  </w:divBdr>
                  <w:divsChild>
                    <w:div w:id="1320500460">
                      <w:marLeft w:val="0"/>
                      <w:marRight w:val="0"/>
                      <w:marTop w:val="0"/>
                      <w:marBottom w:val="0"/>
                      <w:divBdr>
                        <w:top w:val="none" w:sz="0" w:space="0" w:color="auto"/>
                        <w:left w:val="none" w:sz="0" w:space="0" w:color="auto"/>
                        <w:bottom w:val="none" w:sz="0" w:space="0" w:color="auto"/>
                        <w:right w:val="none" w:sz="0" w:space="0" w:color="auto"/>
                      </w:divBdr>
                      <w:divsChild>
                        <w:div w:id="119079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0496008">
          <w:marLeft w:val="0"/>
          <w:marRight w:val="0"/>
          <w:marTop w:val="0"/>
          <w:marBottom w:val="0"/>
          <w:divBdr>
            <w:top w:val="none" w:sz="0" w:space="0" w:color="auto"/>
            <w:left w:val="none" w:sz="0" w:space="0" w:color="auto"/>
            <w:bottom w:val="none" w:sz="0" w:space="0" w:color="auto"/>
            <w:right w:val="none" w:sz="0" w:space="0" w:color="auto"/>
          </w:divBdr>
          <w:divsChild>
            <w:div w:id="1903708692">
              <w:marLeft w:val="0"/>
              <w:marRight w:val="0"/>
              <w:marTop w:val="0"/>
              <w:marBottom w:val="0"/>
              <w:divBdr>
                <w:top w:val="none" w:sz="0" w:space="0" w:color="auto"/>
                <w:left w:val="none" w:sz="0" w:space="0" w:color="auto"/>
                <w:bottom w:val="none" w:sz="0" w:space="0" w:color="auto"/>
                <w:right w:val="none" w:sz="0" w:space="0" w:color="auto"/>
              </w:divBdr>
              <w:divsChild>
                <w:div w:id="1388722730">
                  <w:marLeft w:val="0"/>
                  <w:marRight w:val="0"/>
                  <w:marTop w:val="0"/>
                  <w:marBottom w:val="0"/>
                  <w:divBdr>
                    <w:top w:val="none" w:sz="0" w:space="0" w:color="auto"/>
                    <w:left w:val="none" w:sz="0" w:space="0" w:color="auto"/>
                    <w:bottom w:val="none" w:sz="0" w:space="0" w:color="auto"/>
                    <w:right w:val="none" w:sz="0" w:space="0" w:color="auto"/>
                  </w:divBdr>
                  <w:divsChild>
                    <w:div w:id="1013459860">
                      <w:marLeft w:val="0"/>
                      <w:marRight w:val="0"/>
                      <w:marTop w:val="0"/>
                      <w:marBottom w:val="0"/>
                      <w:divBdr>
                        <w:top w:val="none" w:sz="0" w:space="0" w:color="auto"/>
                        <w:left w:val="none" w:sz="0" w:space="0" w:color="auto"/>
                        <w:bottom w:val="none" w:sz="0" w:space="0" w:color="auto"/>
                        <w:right w:val="none" w:sz="0" w:space="0" w:color="auto"/>
                      </w:divBdr>
                      <w:divsChild>
                        <w:div w:id="855465251">
                          <w:marLeft w:val="0"/>
                          <w:marRight w:val="0"/>
                          <w:marTop w:val="0"/>
                          <w:marBottom w:val="0"/>
                          <w:divBdr>
                            <w:top w:val="none" w:sz="0" w:space="0" w:color="auto"/>
                            <w:left w:val="none" w:sz="0" w:space="0" w:color="auto"/>
                            <w:bottom w:val="none" w:sz="0" w:space="0" w:color="auto"/>
                            <w:right w:val="none" w:sz="0" w:space="0" w:color="auto"/>
                          </w:divBdr>
                          <w:divsChild>
                            <w:div w:id="105770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2453975">
      <w:bodyDiv w:val="1"/>
      <w:marLeft w:val="0"/>
      <w:marRight w:val="0"/>
      <w:marTop w:val="0"/>
      <w:marBottom w:val="0"/>
      <w:divBdr>
        <w:top w:val="none" w:sz="0" w:space="0" w:color="auto"/>
        <w:left w:val="none" w:sz="0" w:space="0" w:color="auto"/>
        <w:bottom w:val="none" w:sz="0" w:space="0" w:color="auto"/>
        <w:right w:val="none" w:sz="0" w:space="0" w:color="auto"/>
      </w:divBdr>
    </w:div>
    <w:div w:id="1893928951">
      <w:bodyDiv w:val="1"/>
      <w:marLeft w:val="0"/>
      <w:marRight w:val="0"/>
      <w:marTop w:val="0"/>
      <w:marBottom w:val="0"/>
      <w:divBdr>
        <w:top w:val="none" w:sz="0" w:space="0" w:color="auto"/>
        <w:left w:val="none" w:sz="0" w:space="0" w:color="auto"/>
        <w:bottom w:val="none" w:sz="0" w:space="0" w:color="auto"/>
        <w:right w:val="none" w:sz="0" w:space="0" w:color="auto"/>
      </w:divBdr>
    </w:div>
    <w:div w:id="2038847952">
      <w:bodyDiv w:val="1"/>
      <w:marLeft w:val="0"/>
      <w:marRight w:val="0"/>
      <w:marTop w:val="0"/>
      <w:marBottom w:val="0"/>
      <w:divBdr>
        <w:top w:val="none" w:sz="0" w:space="0" w:color="auto"/>
        <w:left w:val="none" w:sz="0" w:space="0" w:color="auto"/>
        <w:bottom w:val="none" w:sz="0" w:space="0" w:color="auto"/>
        <w:right w:val="none" w:sz="0" w:space="0" w:color="auto"/>
      </w:divBdr>
      <w:divsChild>
        <w:div w:id="1986082352">
          <w:marLeft w:val="0"/>
          <w:marRight w:val="0"/>
          <w:marTop w:val="0"/>
          <w:marBottom w:val="0"/>
          <w:divBdr>
            <w:top w:val="none" w:sz="0" w:space="0" w:color="auto"/>
            <w:left w:val="none" w:sz="0" w:space="0" w:color="auto"/>
            <w:bottom w:val="none" w:sz="0" w:space="0" w:color="auto"/>
            <w:right w:val="none" w:sz="0" w:space="0" w:color="auto"/>
          </w:divBdr>
          <w:divsChild>
            <w:div w:id="85541295">
              <w:marLeft w:val="0"/>
              <w:marRight w:val="0"/>
              <w:marTop w:val="0"/>
              <w:marBottom w:val="0"/>
              <w:divBdr>
                <w:top w:val="none" w:sz="0" w:space="0" w:color="auto"/>
                <w:left w:val="none" w:sz="0" w:space="0" w:color="auto"/>
                <w:bottom w:val="none" w:sz="0" w:space="0" w:color="auto"/>
                <w:right w:val="none" w:sz="0" w:space="0" w:color="auto"/>
              </w:divBdr>
              <w:divsChild>
                <w:div w:id="78269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802878">
          <w:marLeft w:val="0"/>
          <w:marRight w:val="0"/>
          <w:marTop w:val="0"/>
          <w:marBottom w:val="0"/>
          <w:divBdr>
            <w:top w:val="none" w:sz="0" w:space="0" w:color="auto"/>
            <w:left w:val="none" w:sz="0" w:space="0" w:color="auto"/>
            <w:bottom w:val="none" w:sz="0" w:space="0" w:color="auto"/>
            <w:right w:val="none" w:sz="0" w:space="0" w:color="auto"/>
          </w:divBdr>
          <w:divsChild>
            <w:div w:id="1321738330">
              <w:marLeft w:val="0"/>
              <w:marRight w:val="0"/>
              <w:marTop w:val="0"/>
              <w:marBottom w:val="0"/>
              <w:divBdr>
                <w:top w:val="none" w:sz="0" w:space="0" w:color="auto"/>
                <w:left w:val="none" w:sz="0" w:space="0" w:color="auto"/>
                <w:bottom w:val="none" w:sz="0" w:space="0" w:color="auto"/>
                <w:right w:val="none" w:sz="0" w:space="0" w:color="auto"/>
              </w:divBdr>
              <w:divsChild>
                <w:div w:id="178114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840953">
          <w:marLeft w:val="0"/>
          <w:marRight w:val="0"/>
          <w:marTop w:val="0"/>
          <w:marBottom w:val="0"/>
          <w:divBdr>
            <w:top w:val="none" w:sz="0" w:space="0" w:color="auto"/>
            <w:left w:val="none" w:sz="0" w:space="0" w:color="auto"/>
            <w:bottom w:val="none" w:sz="0" w:space="0" w:color="auto"/>
            <w:right w:val="none" w:sz="0" w:space="0" w:color="auto"/>
          </w:divBdr>
          <w:divsChild>
            <w:div w:id="34350936">
              <w:marLeft w:val="0"/>
              <w:marRight w:val="0"/>
              <w:marTop w:val="0"/>
              <w:marBottom w:val="0"/>
              <w:divBdr>
                <w:top w:val="none" w:sz="0" w:space="0" w:color="auto"/>
                <w:left w:val="none" w:sz="0" w:space="0" w:color="auto"/>
                <w:bottom w:val="none" w:sz="0" w:space="0" w:color="auto"/>
                <w:right w:val="none" w:sz="0" w:space="0" w:color="auto"/>
              </w:divBdr>
              <w:divsChild>
                <w:div w:id="47253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africangoldreport.org/fr/senegal"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12</Pages>
  <Words>5225</Words>
  <Characters>28743</Characters>
  <Application>Microsoft Office Word</Application>
  <DocSecurity>0</DocSecurity>
  <Lines>239</Lines>
  <Paragraphs>67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sie rachid traore</dc:creator>
  <cp:keywords/>
  <dc:description/>
  <cp:lastModifiedBy>sie rachid traore</cp:lastModifiedBy>
  <cp:revision>3</cp:revision>
  <dcterms:created xsi:type="dcterms:W3CDTF">2026-05-07T15:31:00Z</dcterms:created>
  <dcterms:modified xsi:type="dcterms:W3CDTF">2026-05-07T16:47:00Z</dcterms:modified>
</cp:coreProperties>
</file>