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A96" w:rsidRPr="00D44A8B" w:rsidRDefault="00156A96" w:rsidP="00156A96">
      <w:pPr>
        <w:rPr>
          <w:rStyle w:val="lev"/>
          <w:color w:val="026D8E"/>
          <w:sz w:val="160"/>
          <w:szCs w:val="26"/>
          <w:bdr w:val="none" w:sz="0" w:space="0" w:color="auto" w:frame="1"/>
          <w:lang w:val="fr-FR"/>
        </w:rPr>
      </w:pPr>
      <w:r>
        <w:rPr>
          <w:rStyle w:val="lev"/>
          <w:color w:val="026D8E"/>
          <w:sz w:val="160"/>
          <w:szCs w:val="26"/>
          <w:bdr w:val="none" w:sz="0" w:space="0" w:color="auto" w:frame="1"/>
          <w:lang w:val="fr-FR"/>
        </w:rPr>
        <w:t>Module 9.1</w:t>
      </w:r>
    </w:p>
    <w:p w:rsidR="00156A96" w:rsidRPr="00156A96" w:rsidRDefault="00156A96" w:rsidP="00156A96">
      <w:pPr>
        <w:shd w:val="clear" w:color="auto" w:fill="FFFFFF"/>
        <w:spacing w:before="300" w:after="900" w:line="675" w:lineRule="atLeast"/>
        <w:jc w:val="center"/>
        <w:outlineLvl w:val="0"/>
        <w:rPr>
          <w:rFonts w:ascii="Helvetica" w:eastAsia="Times New Roman" w:hAnsi="Helvetica" w:cs="Times New Roman"/>
          <w:b/>
          <w:bCs/>
          <w:color w:val="1D1D1B"/>
          <w:kern w:val="36"/>
          <w:sz w:val="48"/>
          <w:szCs w:val="48"/>
          <w:lang w:val="fr-FR"/>
        </w:rPr>
      </w:pPr>
      <w:r w:rsidRPr="00156A96">
        <w:rPr>
          <w:rFonts w:ascii="Helvetica" w:eastAsia="Times New Roman" w:hAnsi="Helvetica" w:cs="Times New Roman"/>
          <w:b/>
          <w:bCs/>
          <w:color w:val="1D1D1B"/>
          <w:kern w:val="36"/>
          <w:sz w:val="48"/>
          <w:szCs w:val="48"/>
          <w:lang w:val="fr-FR"/>
        </w:rPr>
        <w:t>09.1 Le taux effectif moyen d'imposition (TEMI)</w:t>
      </w:r>
    </w:p>
    <w:p w:rsidR="00156A96" w:rsidRPr="00156A96" w:rsidRDefault="00156A96" w:rsidP="00156A96">
      <w:pPr>
        <w:shd w:val="clear" w:color="auto" w:fill="FFFFFF"/>
        <w:spacing w:after="150" w:line="240" w:lineRule="auto"/>
        <w:rPr>
          <w:rFonts w:ascii="Arial" w:eastAsia="Times New Roman" w:hAnsi="Arial" w:cs="Arial"/>
          <w:color w:val="767676"/>
          <w:sz w:val="24"/>
          <w:szCs w:val="24"/>
          <w:lang w:val="fr-FR"/>
        </w:rPr>
      </w:pPr>
      <w:r w:rsidRPr="00156A96">
        <w:rPr>
          <w:rFonts w:ascii="Arial" w:eastAsia="Times New Roman" w:hAnsi="Arial" w:cs="Arial"/>
          <w:color w:val="313537"/>
          <w:sz w:val="24"/>
          <w:szCs w:val="24"/>
          <w:shd w:val="clear" w:color="auto" w:fill="FFFFFF"/>
          <w:lang w:val="fr-FR"/>
        </w:rPr>
        <w:t>L’objectif de ce module est de </w:t>
      </w:r>
      <w:r w:rsidRPr="00156A96">
        <w:rPr>
          <w:rFonts w:ascii="Arial" w:eastAsia="Times New Roman" w:hAnsi="Arial" w:cs="Arial"/>
          <w:b/>
          <w:bCs/>
          <w:color w:val="767676"/>
          <w:sz w:val="24"/>
          <w:szCs w:val="24"/>
          <w:lang w:val="fr-FR"/>
        </w:rPr>
        <w:t>comprendre le taux effectif moyen d'imposition (TEMI)</w:t>
      </w:r>
      <w:r w:rsidRPr="00156A96">
        <w:rPr>
          <w:rFonts w:ascii="Arial" w:eastAsia="Times New Roman" w:hAnsi="Arial" w:cs="Arial"/>
          <w:color w:val="313537"/>
          <w:sz w:val="24"/>
          <w:szCs w:val="24"/>
          <w:shd w:val="clear" w:color="auto" w:fill="FFFFFF"/>
          <w:lang w:val="fr-FR"/>
        </w:rPr>
        <w:t>. Après </w:t>
      </w:r>
      <w:r w:rsidRPr="00156A96">
        <w:rPr>
          <w:rFonts w:ascii="Arial" w:eastAsia="Times New Roman" w:hAnsi="Arial" w:cs="Arial"/>
          <w:b/>
          <w:bCs/>
          <w:color w:val="767676"/>
          <w:sz w:val="24"/>
          <w:szCs w:val="24"/>
          <w:lang w:val="fr-FR"/>
        </w:rPr>
        <w:t>un rappel théorique</w:t>
      </w:r>
      <w:r w:rsidRPr="00156A96">
        <w:rPr>
          <w:rFonts w:ascii="Arial" w:eastAsia="Times New Roman" w:hAnsi="Arial" w:cs="Arial"/>
          <w:color w:val="313537"/>
          <w:sz w:val="24"/>
          <w:szCs w:val="24"/>
          <w:shd w:val="clear" w:color="auto" w:fill="FFFFFF"/>
          <w:lang w:val="fr-FR"/>
        </w:rPr>
        <w:t>, nous passerons de la théorie à </w:t>
      </w:r>
      <w:r w:rsidRPr="00156A96">
        <w:rPr>
          <w:rFonts w:ascii="Arial" w:eastAsia="Times New Roman" w:hAnsi="Arial" w:cs="Arial"/>
          <w:b/>
          <w:bCs/>
          <w:color w:val="767676"/>
          <w:sz w:val="24"/>
          <w:szCs w:val="24"/>
          <w:lang w:val="fr-FR"/>
        </w:rPr>
        <w:t>la pratique de son calcul</w:t>
      </w:r>
      <w:r w:rsidRPr="00156A96">
        <w:rPr>
          <w:rFonts w:ascii="Arial" w:eastAsia="Times New Roman" w:hAnsi="Arial" w:cs="Arial"/>
          <w:color w:val="313537"/>
          <w:sz w:val="24"/>
          <w:szCs w:val="24"/>
          <w:shd w:val="clear" w:color="auto" w:fill="FFFFFF"/>
          <w:lang w:val="fr-FR"/>
        </w:rPr>
        <w:t> dans le secteur extractif.</w:t>
      </w:r>
    </w:p>
    <w:p w:rsidR="00E52094" w:rsidRPr="00E52094" w:rsidRDefault="00E52094" w:rsidP="00E52094">
      <w:pPr>
        <w:pStyle w:val="Titre1"/>
        <w:shd w:val="clear" w:color="auto" w:fill="FFFFFF"/>
        <w:spacing w:before="0" w:beforeAutospacing="0" w:after="0" w:afterAutospacing="0"/>
        <w:textAlignment w:val="baseline"/>
        <w:rPr>
          <w:rFonts w:ascii="Arial" w:hAnsi="Arial" w:cs="Arial"/>
          <w:color w:val="124258"/>
          <w:lang w:val="fr-FR"/>
        </w:rPr>
      </w:pPr>
      <w:r w:rsidRPr="00E52094">
        <w:rPr>
          <w:rFonts w:ascii="Arial" w:hAnsi="Arial" w:cs="Arial"/>
          <w:color w:val="124258"/>
          <w:lang w:val="fr-FR"/>
        </w:rPr>
        <w:t>I.1 Le taux effectif moyen d'imposition (TEMI)</w:t>
      </w:r>
    </w:p>
    <w:p w:rsidR="00E52094" w:rsidRPr="00E52094" w:rsidRDefault="00E52094" w:rsidP="00E52094">
      <w:pPr>
        <w:pStyle w:val="NormalWeb"/>
        <w:shd w:val="clear" w:color="auto" w:fill="F3F3F3"/>
        <w:spacing w:before="0" w:beforeAutospacing="0" w:after="0" w:afterAutospacing="0"/>
        <w:jc w:val="center"/>
        <w:textAlignment w:val="baseline"/>
        <w:rPr>
          <w:color w:val="313537"/>
          <w:lang w:val="fr-FR"/>
        </w:rPr>
      </w:pPr>
      <w:r w:rsidRPr="00E52094">
        <w:rPr>
          <w:color w:val="026E8F"/>
          <w:sz w:val="26"/>
          <w:szCs w:val="26"/>
          <w:bdr w:val="none" w:sz="0" w:space="0" w:color="auto" w:frame="1"/>
          <w:lang w:val="fr-FR"/>
        </w:rPr>
        <w:t>Après avoir estimé la </w:t>
      </w:r>
      <w:r w:rsidRPr="00E52094">
        <w:rPr>
          <w:rStyle w:val="lev"/>
          <w:color w:val="026E8F"/>
          <w:sz w:val="26"/>
          <w:szCs w:val="26"/>
          <w:bdr w:val="none" w:sz="0" w:space="0" w:color="auto" w:frame="1"/>
          <w:lang w:val="fr-FR"/>
        </w:rPr>
        <w:t>rente économique</w:t>
      </w:r>
      <w:r w:rsidRPr="00E52094">
        <w:rPr>
          <w:color w:val="026E8F"/>
          <w:sz w:val="26"/>
          <w:szCs w:val="26"/>
          <w:bdr w:val="none" w:sz="0" w:space="0" w:color="auto" w:frame="1"/>
          <w:lang w:val="fr-FR"/>
        </w:rPr>
        <w:t> et les </w:t>
      </w:r>
      <w:r w:rsidRPr="00E52094">
        <w:rPr>
          <w:rStyle w:val="lev"/>
          <w:color w:val="026E8F"/>
          <w:sz w:val="26"/>
          <w:szCs w:val="26"/>
          <w:bdr w:val="none" w:sz="0" w:space="0" w:color="auto" w:frame="1"/>
          <w:lang w:val="fr-FR"/>
        </w:rPr>
        <w:t>impôts à payer</w:t>
      </w:r>
      <w:r w:rsidRPr="00E52094">
        <w:rPr>
          <w:color w:val="026E8F"/>
          <w:sz w:val="26"/>
          <w:szCs w:val="26"/>
          <w:bdr w:val="none" w:sz="0" w:space="0" w:color="auto" w:frame="1"/>
          <w:lang w:val="fr-FR"/>
        </w:rPr>
        <w:t>, il est possible de calculer le </w:t>
      </w:r>
      <w:r w:rsidRPr="00E52094">
        <w:rPr>
          <w:rStyle w:val="lev"/>
          <w:color w:val="026E8F"/>
          <w:sz w:val="26"/>
          <w:szCs w:val="26"/>
          <w:bdr w:val="none" w:sz="0" w:space="0" w:color="auto" w:frame="1"/>
          <w:lang w:val="fr-FR"/>
        </w:rPr>
        <w:t>taux effectif moyen d'imposition</w:t>
      </w:r>
      <w:r w:rsidRPr="00E52094">
        <w:rPr>
          <w:color w:val="026E8F"/>
          <w:sz w:val="26"/>
          <w:szCs w:val="26"/>
          <w:bdr w:val="none" w:sz="0" w:space="0" w:color="auto" w:frame="1"/>
          <w:lang w:val="fr-FR"/>
        </w:rPr>
        <w:t> du projet extractif. Utilisez alors la carte interactive pour connaître et comparer le TEMI estimé dans le secteur minier de différents pays africains.</w:t>
      </w:r>
    </w:p>
    <w:p w:rsidR="000B6BAC" w:rsidRDefault="000B6BAC">
      <w:pPr>
        <w:rPr>
          <w:lang w:val="fr-FR"/>
        </w:rPr>
      </w:pPr>
    </w:p>
    <w:p w:rsidR="00196CC9" w:rsidRPr="00196CC9" w:rsidRDefault="00196CC9" w:rsidP="00196CC9">
      <w:pPr>
        <w:shd w:val="clear" w:color="auto" w:fill="026D8E"/>
        <w:spacing w:after="0" w:line="240" w:lineRule="auto"/>
        <w:jc w:val="center"/>
        <w:textAlignment w:val="baseline"/>
        <w:outlineLvl w:val="2"/>
        <w:rPr>
          <w:rFonts w:ascii="Times New Roman" w:eastAsia="Times New Roman" w:hAnsi="Times New Roman" w:cs="Times New Roman"/>
          <w:b/>
          <w:bCs/>
          <w:sz w:val="36"/>
          <w:szCs w:val="36"/>
          <w:lang w:val="fr-FR"/>
        </w:rPr>
      </w:pPr>
      <w:r w:rsidRPr="00196CC9">
        <w:rPr>
          <w:rFonts w:ascii="Times New Roman" w:eastAsia="Times New Roman" w:hAnsi="Times New Roman" w:cs="Times New Roman"/>
          <w:b/>
          <w:bCs/>
          <w:color w:val="FFFFFF"/>
          <w:sz w:val="45"/>
          <w:szCs w:val="45"/>
          <w:bdr w:val="none" w:sz="0" w:space="0" w:color="auto" w:frame="1"/>
          <w:lang w:val="fr-FR"/>
        </w:rPr>
        <w:t>Le taux effectif moyen d'imposition (TEMI)</w:t>
      </w:r>
    </w:p>
    <w:p w:rsidR="00196CC9" w:rsidRPr="00196CC9" w:rsidRDefault="00196CC9" w:rsidP="00196CC9">
      <w:pPr>
        <w:shd w:val="clear" w:color="auto" w:fill="F5F5F5"/>
        <w:spacing w:after="0" w:line="240" w:lineRule="auto"/>
        <w:textAlignment w:val="baseline"/>
        <w:rPr>
          <w:rFonts w:ascii="Times New Roman" w:eastAsia="Times New Roman" w:hAnsi="Times New Roman" w:cs="Times New Roman"/>
          <w:b/>
          <w:bCs/>
          <w:sz w:val="24"/>
          <w:szCs w:val="24"/>
          <w:lang w:val="fr-FR"/>
        </w:rPr>
      </w:pPr>
      <w:r w:rsidRPr="00196CC9">
        <w:rPr>
          <w:rFonts w:ascii="Times New Roman" w:eastAsia="Times New Roman" w:hAnsi="Times New Roman" w:cs="Times New Roman"/>
          <w:b/>
          <w:bCs/>
          <w:color w:val="026D8E"/>
          <w:sz w:val="30"/>
          <w:szCs w:val="30"/>
          <w:bdr w:val="none" w:sz="0" w:space="0" w:color="auto" w:frame="1"/>
          <w:lang w:val="fr-FR"/>
        </w:rPr>
        <w:t>Le taux effectif moyen d'imposition</w:t>
      </w:r>
      <w:r w:rsidRPr="00196CC9">
        <w:rPr>
          <w:rFonts w:ascii="Times New Roman" w:eastAsia="Times New Roman" w:hAnsi="Times New Roman" w:cs="Times New Roman"/>
          <w:b/>
          <w:bCs/>
          <w:sz w:val="30"/>
          <w:szCs w:val="30"/>
          <w:bdr w:val="none" w:sz="0" w:space="0" w:color="auto" w:frame="1"/>
          <w:lang w:val="fr-FR"/>
        </w:rPr>
        <w:t> (TEMI) d'un projet extractif correspond (en pourcentage) à la part de la rente économique qui revient à l'État. Il est ainsi souvent désigné comme la « part de l'État ».</w:t>
      </w:r>
    </w:p>
    <w:p w:rsidR="00196CC9" w:rsidRPr="00196CC9" w:rsidRDefault="00196CC9" w:rsidP="00196CC9">
      <w:pPr>
        <w:spacing w:after="0"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t>Le </w:t>
      </w:r>
      <w:r w:rsidRPr="00196CC9">
        <w:rPr>
          <w:rFonts w:ascii="Times New Roman" w:eastAsia="Times New Roman" w:hAnsi="Times New Roman" w:cs="Times New Roman"/>
          <w:b/>
          <w:bCs/>
          <w:color w:val="114258"/>
          <w:sz w:val="24"/>
          <w:szCs w:val="24"/>
          <w:bdr w:val="none" w:sz="0" w:space="0" w:color="auto" w:frame="1"/>
          <w:lang w:val="fr-FR"/>
        </w:rPr>
        <w:t>taux effectif moyen d'imposition</w:t>
      </w:r>
      <w:r w:rsidRPr="00196CC9">
        <w:rPr>
          <w:rFonts w:ascii="Times New Roman" w:eastAsia="Times New Roman" w:hAnsi="Times New Roman" w:cs="Times New Roman"/>
          <w:color w:val="114258"/>
          <w:sz w:val="24"/>
          <w:szCs w:val="24"/>
          <w:bdr w:val="none" w:sz="0" w:space="0" w:color="auto" w:frame="1"/>
          <w:lang w:val="fr-FR"/>
        </w:rPr>
        <w:t> (TEMI) peut se calculer à partir des données actualisées (valeurs actuelles nettes) ou des données non-actualisées (sommes). Cependant il est davantage pertinent d'utiliser les données actualisées afin de tenir compte de l'effet du temps. Le TEMI se calcule alors comme la </w:t>
      </w:r>
      <w:r w:rsidRPr="00196CC9">
        <w:rPr>
          <w:rFonts w:ascii="Times New Roman" w:eastAsia="Times New Roman" w:hAnsi="Times New Roman" w:cs="Times New Roman"/>
          <w:b/>
          <w:bCs/>
          <w:color w:val="114258"/>
          <w:sz w:val="24"/>
          <w:szCs w:val="24"/>
          <w:bdr w:val="none" w:sz="0" w:space="0" w:color="auto" w:frame="1"/>
          <w:lang w:val="fr-FR"/>
        </w:rPr>
        <w:t>somme actualisée des prélèvements de l'État, divisée par la valeur de la rente</w:t>
      </w:r>
      <w:r w:rsidRPr="00196CC9">
        <w:rPr>
          <w:rFonts w:ascii="Times New Roman" w:eastAsia="Times New Roman" w:hAnsi="Times New Roman" w:cs="Times New Roman"/>
          <w:color w:val="114258"/>
          <w:sz w:val="24"/>
          <w:szCs w:val="24"/>
          <w:bdr w:val="none" w:sz="0" w:space="0" w:color="auto" w:frame="1"/>
          <w:lang w:val="fr-FR"/>
        </w:rPr>
        <w:t>. En d'autres termes, il s'agit de la somme actualisée des impôts, divisée par la somme actualisée des flux nets d</w:t>
      </w:r>
      <w:bookmarkStart w:id="0" w:name="_GoBack"/>
      <w:bookmarkEnd w:id="0"/>
      <w:r w:rsidRPr="00196CC9">
        <w:rPr>
          <w:rFonts w:ascii="Times New Roman" w:eastAsia="Times New Roman" w:hAnsi="Times New Roman" w:cs="Times New Roman"/>
          <w:color w:val="114258"/>
          <w:sz w:val="24"/>
          <w:szCs w:val="24"/>
          <w:bdr w:val="none" w:sz="0" w:space="0" w:color="auto" w:frame="1"/>
          <w:lang w:val="fr-FR"/>
        </w:rPr>
        <w:t>e trésorerie avant impôts.</w:t>
      </w:r>
    </w:p>
    <w:p w:rsidR="00196CC9" w:rsidRPr="00196CC9" w:rsidRDefault="00196CC9" w:rsidP="00196CC9">
      <w:pPr>
        <w:spacing w:after="0" w:line="240" w:lineRule="auto"/>
        <w:textAlignment w:val="baseline"/>
        <w:rPr>
          <w:rFonts w:ascii="Times New Roman" w:eastAsia="Times New Roman" w:hAnsi="Times New Roman" w:cs="Times New Roman"/>
          <w:sz w:val="24"/>
          <w:szCs w:val="24"/>
        </w:rPr>
      </w:pPr>
      <w:r w:rsidRPr="00196CC9">
        <w:rPr>
          <w:rFonts w:ascii="Times New Roman" w:eastAsia="Times New Roman" w:hAnsi="Times New Roman" w:cs="Times New Roman"/>
          <w:noProof/>
          <w:sz w:val="24"/>
          <w:szCs w:val="24"/>
        </w:rPr>
        <w:drawing>
          <wp:inline distT="0" distB="0" distL="0" distR="0">
            <wp:extent cx="5964381" cy="419163"/>
            <wp:effectExtent l="0" t="0" r="0" b="0"/>
            <wp:docPr id="1" name="Image 1" descr="equation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uations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46651" cy="446028"/>
                    </a:xfrm>
                    <a:prstGeom prst="rect">
                      <a:avLst/>
                    </a:prstGeom>
                    <a:noFill/>
                    <a:ln>
                      <a:noFill/>
                    </a:ln>
                  </pic:spPr>
                </pic:pic>
              </a:graphicData>
            </a:graphic>
          </wp:inline>
        </w:drawing>
      </w:r>
    </w:p>
    <w:p w:rsidR="00196CC9" w:rsidRPr="00196CC9" w:rsidRDefault="00196CC9" w:rsidP="00196CC9">
      <w:pPr>
        <w:spacing w:beforeAutospacing="1" w:after="0" w:afterAutospacing="1"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lastRenderedPageBreak/>
        <w:t>Dans notre exemple, les prélèvements de l'État se composent, selon le secteur minier ou pétrolier, des droits fixes, primes ou bonus, de la redevance superficiaire, de la redevance ad valorem, du profit pétrolier de l'État, de l'impôt sur les sociétés (IS) et de l'impôt minimum forfaitaire (IMF). Pour les actualiser, il suffit d'en calculer la valeur actuelle nette (VAN).</w:t>
      </w:r>
    </w:p>
    <w:p w:rsidR="00196CC9" w:rsidRPr="00196CC9" w:rsidRDefault="00196CC9" w:rsidP="00196CC9">
      <w:pPr>
        <w:spacing w:after="0"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t>Le niveau du TEMI dépend des conditions économiques du projet extractif (</w:t>
      </w:r>
      <w:r w:rsidRPr="00196CC9">
        <w:rPr>
          <w:rFonts w:ascii="Times New Roman" w:eastAsia="Times New Roman" w:hAnsi="Times New Roman" w:cs="Times New Roman"/>
          <w:b/>
          <w:bCs/>
          <w:color w:val="114258"/>
          <w:sz w:val="24"/>
          <w:szCs w:val="24"/>
          <w:bdr w:val="none" w:sz="0" w:space="0" w:color="auto" w:frame="1"/>
          <w:lang w:val="fr-FR"/>
        </w:rPr>
        <w:t>coûts de production</w:t>
      </w:r>
      <w:r w:rsidRPr="00196CC9">
        <w:rPr>
          <w:rFonts w:ascii="Times New Roman" w:eastAsia="Times New Roman" w:hAnsi="Times New Roman" w:cs="Times New Roman"/>
          <w:color w:val="114258"/>
          <w:sz w:val="24"/>
          <w:szCs w:val="24"/>
          <w:bdr w:val="none" w:sz="0" w:space="0" w:color="auto" w:frame="1"/>
          <w:lang w:val="fr-FR"/>
        </w:rPr>
        <w:t> et </w:t>
      </w:r>
      <w:r w:rsidRPr="00196CC9">
        <w:rPr>
          <w:rFonts w:ascii="Times New Roman" w:eastAsia="Times New Roman" w:hAnsi="Times New Roman" w:cs="Times New Roman"/>
          <w:b/>
          <w:bCs/>
          <w:color w:val="114258"/>
          <w:sz w:val="24"/>
          <w:szCs w:val="24"/>
          <w:bdr w:val="none" w:sz="0" w:space="0" w:color="auto" w:frame="1"/>
          <w:lang w:val="fr-FR"/>
        </w:rPr>
        <w:t>cours des minerais ou hydrocarbures</w:t>
      </w:r>
      <w:r w:rsidRPr="00196CC9">
        <w:rPr>
          <w:rFonts w:ascii="Times New Roman" w:eastAsia="Times New Roman" w:hAnsi="Times New Roman" w:cs="Times New Roman"/>
          <w:color w:val="114258"/>
          <w:sz w:val="24"/>
          <w:szCs w:val="24"/>
          <w:bdr w:val="none" w:sz="0" w:space="0" w:color="auto" w:frame="1"/>
          <w:lang w:val="fr-FR"/>
        </w:rPr>
        <w:t>) et du </w:t>
      </w:r>
      <w:r w:rsidRPr="00196CC9">
        <w:rPr>
          <w:rFonts w:ascii="Times New Roman" w:eastAsia="Times New Roman" w:hAnsi="Times New Roman" w:cs="Times New Roman"/>
          <w:b/>
          <w:bCs/>
          <w:color w:val="114258"/>
          <w:sz w:val="24"/>
          <w:szCs w:val="24"/>
          <w:bdr w:val="none" w:sz="0" w:space="0" w:color="auto" w:frame="1"/>
          <w:lang w:val="fr-FR"/>
        </w:rPr>
        <w:t>système fiscal</w:t>
      </w:r>
      <w:r w:rsidRPr="00196CC9">
        <w:rPr>
          <w:rFonts w:ascii="Times New Roman" w:eastAsia="Times New Roman" w:hAnsi="Times New Roman" w:cs="Times New Roman"/>
          <w:color w:val="114258"/>
          <w:sz w:val="24"/>
          <w:szCs w:val="24"/>
          <w:bdr w:val="none" w:sz="0" w:space="0" w:color="auto" w:frame="1"/>
          <w:lang w:val="fr-FR"/>
        </w:rPr>
        <w:t>. L'augmentation des impôts régressifs augmente donc le TEMI. Selon les données utilisées, </w:t>
      </w:r>
      <w:r w:rsidRPr="00196CC9">
        <w:rPr>
          <w:rFonts w:ascii="Times New Roman" w:eastAsia="Times New Roman" w:hAnsi="Times New Roman" w:cs="Times New Roman"/>
          <w:b/>
          <w:bCs/>
          <w:color w:val="114258"/>
          <w:sz w:val="24"/>
          <w:szCs w:val="24"/>
          <w:bdr w:val="none" w:sz="0" w:space="0" w:color="auto" w:frame="1"/>
          <w:lang w:val="fr-FR"/>
        </w:rPr>
        <w:t>le TEMI calculé peut être très élevé : proche de 100 %, voire supérieur à 100 % ! </w:t>
      </w:r>
      <w:r w:rsidRPr="00196CC9">
        <w:rPr>
          <w:rFonts w:ascii="Times New Roman" w:eastAsia="Times New Roman" w:hAnsi="Times New Roman" w:cs="Times New Roman"/>
          <w:color w:val="114258"/>
          <w:sz w:val="24"/>
          <w:szCs w:val="24"/>
          <w:bdr w:val="none" w:sz="0" w:space="0" w:color="auto" w:frame="1"/>
          <w:lang w:val="fr-FR"/>
        </w:rPr>
        <w:t>Un tel résultat ne doit pas être interprété stricto sensu. Il ne signifie pas que l’État parvient à prélever la totalité de la rente, mais que la charge fiscale rend le projet économiquement inexploitable. Cela illustre l’impact non négligeable du système fiscal et du prix des matières premières sur la viabilité d’un projet extractif.</w:t>
      </w:r>
    </w:p>
    <w:p w:rsidR="00196CC9" w:rsidRPr="00196CC9" w:rsidRDefault="00196CC9" w:rsidP="00196CC9">
      <w:pPr>
        <w:spacing w:beforeAutospacing="1" w:after="0" w:afterAutospacing="1"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t>En effet, à conditions économiques identiques, un projet viable dans un pays peut ne pas l’être dans un autre pays dont le système fiscal est plus lourd. De même, un projet économiquement viable pour un prix de vente donné peut devenir déficitaire en cas de chute des cours.</w:t>
      </w:r>
    </w:p>
    <w:p w:rsidR="00196CC9" w:rsidRPr="00196CC9" w:rsidRDefault="00196CC9" w:rsidP="00196CC9">
      <w:pPr>
        <w:spacing w:after="0"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t>L'objectif du TEMI est de permettre la </w:t>
      </w:r>
      <w:r w:rsidRPr="00196CC9">
        <w:rPr>
          <w:rFonts w:ascii="Times New Roman" w:eastAsia="Times New Roman" w:hAnsi="Times New Roman" w:cs="Times New Roman"/>
          <w:b/>
          <w:bCs/>
          <w:color w:val="114258"/>
          <w:sz w:val="24"/>
          <w:szCs w:val="24"/>
          <w:bdr w:val="none" w:sz="0" w:space="0" w:color="auto" w:frame="1"/>
          <w:lang w:val="fr-FR"/>
        </w:rPr>
        <w:t>comparaison des systèmes fiscaux</w:t>
      </w:r>
      <w:r w:rsidRPr="00196CC9">
        <w:rPr>
          <w:rFonts w:ascii="Times New Roman" w:eastAsia="Times New Roman" w:hAnsi="Times New Roman" w:cs="Times New Roman"/>
          <w:color w:val="114258"/>
          <w:sz w:val="24"/>
          <w:szCs w:val="24"/>
          <w:bdr w:val="none" w:sz="0" w:space="0" w:color="auto" w:frame="1"/>
          <w:lang w:val="fr-FR"/>
        </w:rPr>
        <w:t>, même très différents, car ils sont considérés dans leur ensemble. Le TEMI permet en effet de synthétiser une charge fiscale, bien au-delà des seuls taux d'imposition nominaux. Le TEMI permet donc </w:t>
      </w:r>
      <w:r w:rsidRPr="00196CC9">
        <w:rPr>
          <w:rFonts w:ascii="Times New Roman" w:eastAsia="Times New Roman" w:hAnsi="Times New Roman" w:cs="Times New Roman"/>
          <w:i/>
          <w:iCs/>
          <w:color w:val="114258"/>
          <w:sz w:val="24"/>
          <w:szCs w:val="24"/>
          <w:bdr w:val="none" w:sz="0" w:space="0" w:color="auto" w:frame="1"/>
          <w:lang w:val="fr-FR"/>
        </w:rPr>
        <w:t>in fine</w:t>
      </w:r>
      <w:r w:rsidRPr="00196CC9">
        <w:rPr>
          <w:rFonts w:ascii="Times New Roman" w:eastAsia="Times New Roman" w:hAnsi="Times New Roman" w:cs="Times New Roman"/>
          <w:color w:val="114258"/>
          <w:sz w:val="24"/>
          <w:szCs w:val="24"/>
          <w:bdr w:val="none" w:sz="0" w:space="0" w:color="auto" w:frame="1"/>
          <w:lang w:val="fr-FR"/>
        </w:rPr>
        <w:t> de comparer les systèmes fiscaux, aussi bien dans l'espace (entre les pays) que dans le temps (au sein d'un même pays).</w:t>
      </w:r>
    </w:p>
    <w:p w:rsidR="00196CC9" w:rsidRPr="00196CC9" w:rsidRDefault="00196CC9" w:rsidP="00196CC9">
      <w:pPr>
        <w:shd w:val="clear" w:color="auto" w:fill="026D8E"/>
        <w:spacing w:after="0" w:line="240" w:lineRule="auto"/>
        <w:jc w:val="center"/>
        <w:textAlignment w:val="baseline"/>
        <w:outlineLvl w:val="2"/>
        <w:rPr>
          <w:rFonts w:ascii="Times New Roman" w:eastAsia="Times New Roman" w:hAnsi="Times New Roman" w:cs="Times New Roman"/>
          <w:b/>
          <w:bCs/>
          <w:sz w:val="36"/>
          <w:szCs w:val="36"/>
          <w:lang w:val="fr-FR"/>
        </w:rPr>
      </w:pPr>
      <w:r w:rsidRPr="00196CC9">
        <w:rPr>
          <w:rFonts w:ascii="Times New Roman" w:eastAsia="Times New Roman" w:hAnsi="Times New Roman" w:cs="Times New Roman"/>
          <w:b/>
          <w:bCs/>
          <w:color w:val="FFFFFF"/>
          <w:sz w:val="45"/>
          <w:szCs w:val="45"/>
          <w:bdr w:val="none" w:sz="0" w:space="0" w:color="auto" w:frame="1"/>
          <w:lang w:val="fr-FR"/>
        </w:rPr>
        <w:t>Comparer les taux effectifs moyens d'imposition en Afrique</w:t>
      </w:r>
    </w:p>
    <w:p w:rsidR="00196CC9" w:rsidRPr="00196CC9" w:rsidRDefault="00196CC9" w:rsidP="00196CC9">
      <w:pPr>
        <w:spacing w:after="0" w:line="240" w:lineRule="auto"/>
        <w:textAlignment w:val="baseline"/>
        <w:rPr>
          <w:rFonts w:ascii="Times New Roman" w:eastAsia="Times New Roman" w:hAnsi="Times New Roman" w:cs="Times New Roman"/>
          <w:sz w:val="24"/>
          <w:szCs w:val="24"/>
          <w:lang w:val="fr-FR"/>
        </w:rPr>
      </w:pPr>
      <w:r w:rsidRPr="00196CC9">
        <w:rPr>
          <w:rFonts w:ascii="Times New Roman" w:eastAsia="Times New Roman" w:hAnsi="Times New Roman" w:cs="Times New Roman"/>
          <w:color w:val="114258"/>
          <w:sz w:val="24"/>
          <w:szCs w:val="24"/>
          <w:bdr w:val="none" w:sz="0" w:space="0" w:color="auto" w:frame="1"/>
          <w:lang w:val="fr-FR"/>
        </w:rPr>
        <w:t>Dans le </w:t>
      </w:r>
      <w:r w:rsidRPr="00196CC9">
        <w:rPr>
          <w:rFonts w:ascii="Times New Roman" w:eastAsia="Times New Roman" w:hAnsi="Times New Roman" w:cs="Times New Roman"/>
          <w:b/>
          <w:bCs/>
          <w:color w:val="114258"/>
          <w:sz w:val="24"/>
          <w:szCs w:val="24"/>
          <w:bdr w:val="none" w:sz="0" w:space="0" w:color="auto" w:frame="1"/>
          <w:lang w:val="fr-FR"/>
        </w:rPr>
        <w:t>secteur minier</w:t>
      </w:r>
      <w:r w:rsidRPr="00196CC9">
        <w:rPr>
          <w:rFonts w:ascii="Times New Roman" w:eastAsia="Times New Roman" w:hAnsi="Times New Roman" w:cs="Times New Roman"/>
          <w:color w:val="114258"/>
          <w:sz w:val="24"/>
          <w:szCs w:val="24"/>
          <w:bdr w:val="none" w:sz="0" w:space="0" w:color="auto" w:frame="1"/>
          <w:lang w:val="fr-FR"/>
        </w:rPr>
        <w:t>, la mise en concurrence des États implique dans la pratique que</w:t>
      </w:r>
      <w:r w:rsidRPr="00196CC9">
        <w:rPr>
          <w:rFonts w:ascii="Times New Roman" w:eastAsia="Times New Roman" w:hAnsi="Times New Roman" w:cs="Times New Roman"/>
          <w:b/>
          <w:bCs/>
          <w:color w:val="114258"/>
          <w:sz w:val="24"/>
          <w:szCs w:val="24"/>
          <w:bdr w:val="none" w:sz="0" w:space="0" w:color="auto" w:frame="1"/>
          <w:lang w:val="fr-FR"/>
        </w:rPr>
        <w:t> </w:t>
      </w:r>
      <w:r w:rsidRPr="00196CC9">
        <w:rPr>
          <w:rFonts w:ascii="Times New Roman" w:eastAsia="Times New Roman" w:hAnsi="Times New Roman" w:cs="Times New Roman"/>
          <w:color w:val="114258"/>
          <w:sz w:val="24"/>
          <w:szCs w:val="24"/>
          <w:bdr w:val="none" w:sz="0" w:space="0" w:color="auto" w:frame="1"/>
          <w:lang w:val="fr-FR"/>
        </w:rPr>
        <w:t>la </w:t>
      </w:r>
      <w:r w:rsidRPr="00196CC9">
        <w:rPr>
          <w:rFonts w:ascii="Times New Roman" w:eastAsia="Times New Roman" w:hAnsi="Times New Roman" w:cs="Times New Roman"/>
          <w:b/>
          <w:bCs/>
          <w:color w:val="114258"/>
          <w:sz w:val="24"/>
          <w:szCs w:val="24"/>
          <w:bdr w:val="none" w:sz="0" w:space="0" w:color="auto" w:frame="1"/>
          <w:lang w:val="fr-FR"/>
        </w:rPr>
        <w:t>capture de la rente par l’État se situe souvent autour de 50%</w:t>
      </w:r>
      <w:r w:rsidRPr="00196CC9">
        <w:rPr>
          <w:rFonts w:ascii="Times New Roman" w:eastAsia="Times New Roman" w:hAnsi="Times New Roman" w:cs="Times New Roman"/>
          <w:color w:val="114258"/>
          <w:sz w:val="24"/>
          <w:szCs w:val="24"/>
          <w:bdr w:val="none" w:sz="0" w:space="0" w:color="auto" w:frame="1"/>
          <w:lang w:val="fr-FR"/>
        </w:rPr>
        <w:t> (Land, 2008). Dans le </w:t>
      </w:r>
      <w:r w:rsidRPr="00196CC9">
        <w:rPr>
          <w:rFonts w:ascii="Times New Roman" w:eastAsia="Times New Roman" w:hAnsi="Times New Roman" w:cs="Times New Roman"/>
          <w:b/>
          <w:bCs/>
          <w:color w:val="114258"/>
          <w:sz w:val="24"/>
          <w:szCs w:val="24"/>
          <w:bdr w:val="none" w:sz="0" w:space="0" w:color="auto" w:frame="1"/>
          <w:lang w:val="fr-FR"/>
        </w:rPr>
        <w:t>secteur pétrolier</w:t>
      </w:r>
      <w:r w:rsidRPr="00196CC9">
        <w:rPr>
          <w:rFonts w:ascii="Times New Roman" w:eastAsia="Times New Roman" w:hAnsi="Times New Roman" w:cs="Times New Roman"/>
          <w:color w:val="114258"/>
          <w:sz w:val="24"/>
          <w:szCs w:val="24"/>
          <w:bdr w:val="none" w:sz="0" w:space="0" w:color="auto" w:frame="1"/>
          <w:lang w:val="fr-FR"/>
        </w:rPr>
        <w:t>, le TEMI est généralement nettement plus élevé, il s'élève souvent à </w:t>
      </w:r>
      <w:r w:rsidRPr="00196CC9">
        <w:rPr>
          <w:rFonts w:ascii="Times New Roman" w:eastAsia="Times New Roman" w:hAnsi="Times New Roman" w:cs="Times New Roman"/>
          <w:b/>
          <w:bCs/>
          <w:color w:val="114258"/>
          <w:sz w:val="24"/>
          <w:szCs w:val="24"/>
          <w:bdr w:val="none" w:sz="0" w:space="0" w:color="auto" w:frame="1"/>
          <w:lang w:val="fr-FR"/>
        </w:rPr>
        <w:t>80 voire 90 %</w:t>
      </w:r>
      <w:r w:rsidRPr="00196CC9">
        <w:rPr>
          <w:rFonts w:ascii="Times New Roman" w:eastAsia="Times New Roman" w:hAnsi="Times New Roman" w:cs="Times New Roman"/>
          <w:color w:val="114258"/>
          <w:sz w:val="24"/>
          <w:szCs w:val="24"/>
          <w:bdr w:val="none" w:sz="0" w:space="0" w:color="auto" w:frame="1"/>
          <w:lang w:val="fr-FR"/>
        </w:rPr>
        <w:t>.</w:t>
      </w:r>
    </w:p>
    <w:p w:rsidR="00196CC9" w:rsidRDefault="00196CC9">
      <w:pPr>
        <w:rPr>
          <w:lang w:val="fr-FR"/>
        </w:rPr>
      </w:pPr>
    </w:p>
    <w:p w:rsidR="00196CC9" w:rsidRDefault="00196CC9">
      <w:pPr>
        <w:rPr>
          <w:lang w:val="fr-FR"/>
        </w:rPr>
      </w:pPr>
      <w:r>
        <w:rPr>
          <w:lang w:val="fr-FR"/>
        </w:rPr>
        <w:t>SENEGAL</w:t>
      </w:r>
    </w:p>
    <w:p w:rsidR="00196CC9" w:rsidRDefault="00152CF9">
      <w:pPr>
        <w:rPr>
          <w:lang w:val="fr-FR"/>
        </w:rPr>
      </w:pPr>
      <w:r>
        <w:rPr>
          <w:lang w:val="fr-FR"/>
        </w:rPr>
        <w:t>COURS DE 1100$/once : TEMI de 56,5</w:t>
      </w:r>
      <w:r w:rsidR="000E1E69">
        <w:rPr>
          <w:lang w:val="fr-FR"/>
        </w:rPr>
        <w:t>%</w:t>
      </w:r>
    </w:p>
    <w:p w:rsidR="00152CF9" w:rsidRPr="00156A96" w:rsidRDefault="00152CF9" w:rsidP="00152CF9">
      <w:pPr>
        <w:rPr>
          <w:lang w:val="fr-FR"/>
        </w:rPr>
      </w:pPr>
      <w:r>
        <w:rPr>
          <w:lang w:val="fr-FR"/>
        </w:rPr>
        <w:t>COURS DE 1300$/once :</w:t>
      </w:r>
      <w:r w:rsidR="000E1E69">
        <w:rPr>
          <w:lang w:val="fr-FR"/>
        </w:rPr>
        <w:t xml:space="preserve"> TEMI de 51,5%</w:t>
      </w:r>
    </w:p>
    <w:p w:rsidR="000E1E69" w:rsidRDefault="00152CF9" w:rsidP="000E1E69">
      <w:pPr>
        <w:rPr>
          <w:lang w:val="fr-FR"/>
        </w:rPr>
      </w:pPr>
      <w:r>
        <w:rPr>
          <w:lang w:val="fr-FR"/>
        </w:rPr>
        <w:t>COURS DE 1500$/once :</w:t>
      </w:r>
      <w:r w:rsidR="000E1E69">
        <w:rPr>
          <w:lang w:val="fr-FR"/>
        </w:rPr>
        <w:t xml:space="preserve"> TEMI de 49,5%</w:t>
      </w:r>
    </w:p>
    <w:p w:rsidR="000E1E69" w:rsidRPr="000E1E69" w:rsidRDefault="000E1E69" w:rsidP="000E1E69">
      <w:pPr>
        <w:pStyle w:val="Titre1"/>
        <w:shd w:val="clear" w:color="auto" w:fill="FFFFFF"/>
        <w:spacing w:before="0" w:beforeAutospacing="0" w:after="0" w:afterAutospacing="0"/>
        <w:textAlignment w:val="baseline"/>
        <w:rPr>
          <w:rFonts w:ascii="Arial" w:hAnsi="Arial" w:cs="Arial"/>
          <w:color w:val="124258"/>
          <w:lang w:val="fr-FR"/>
        </w:rPr>
      </w:pPr>
      <w:r w:rsidRPr="000E1E69">
        <w:rPr>
          <w:rFonts w:ascii="Arial" w:hAnsi="Arial" w:cs="Arial"/>
          <w:color w:val="124258"/>
          <w:lang w:val="fr-FR"/>
        </w:rPr>
        <w:t>I.2 Le niveau optimal du TEMI</w:t>
      </w:r>
    </w:p>
    <w:p w:rsidR="000E1E69" w:rsidRPr="000E1E69" w:rsidRDefault="000E1E69" w:rsidP="000E1E69">
      <w:pPr>
        <w:pStyle w:val="NormalWeb"/>
        <w:shd w:val="clear" w:color="auto" w:fill="F3F3F3"/>
        <w:spacing w:before="0" w:beforeAutospacing="0" w:after="0" w:afterAutospacing="0"/>
        <w:jc w:val="center"/>
        <w:textAlignment w:val="baseline"/>
        <w:rPr>
          <w:color w:val="313537"/>
          <w:lang w:val="fr-FR"/>
        </w:rPr>
      </w:pPr>
      <w:r w:rsidRPr="000E1E69">
        <w:rPr>
          <w:rStyle w:val="lev"/>
          <w:color w:val="026E8F"/>
          <w:sz w:val="26"/>
          <w:szCs w:val="26"/>
          <w:bdr w:val="none" w:sz="0" w:space="0" w:color="auto" w:frame="1"/>
          <w:lang w:val="fr-FR"/>
        </w:rPr>
        <w:t>Donnons la parole à Bertrand Laporte</w:t>
      </w:r>
      <w:r w:rsidRPr="000E1E69">
        <w:rPr>
          <w:color w:val="026E8F"/>
          <w:sz w:val="26"/>
          <w:szCs w:val="26"/>
          <w:bdr w:val="none" w:sz="0" w:space="0" w:color="auto" w:frame="1"/>
          <w:lang w:val="fr-FR"/>
        </w:rPr>
        <w:t>, maître de conférences, habilité à diriger des recherches (HDR), Université Clermont Auvergne (UCA).</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Style w:val="lev"/>
          <w:rFonts w:ascii="Roboto" w:hAnsi="Roboto"/>
          <w:color w:val="026D8E"/>
          <w:sz w:val="33"/>
          <w:szCs w:val="33"/>
          <w:bdr w:val="none" w:sz="0" w:space="0" w:color="auto" w:frame="1"/>
          <w:lang w:val="fr-FR"/>
        </w:rPr>
        <w:t>Quel est le niveau optimal du taux effectif moyen d’imposition (TEMI) ?</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lastRenderedPageBreak/>
        <w:t>Si vous parcourez la carte des TEMI pour les pays miniers, vous allez vous rendre compte que ceux-ci varient fortement d'un pays à l'autre. Ils peuvent être relativement faibles, moins de 30%, c'est le cas du Zimbabwe ou du Nigeria, ou relativement élevés, plus de 50%, c'est le cas de la Tanzanie, du Ghana et d'autres pays.</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br/>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t>Alors, quel est le niveau optimal de TEMI ? Autrement dit, quelle est la part de la rente que l'État doit percevoir dans un monde idéal ? Répondre à cette question est difficile. En effet, le TEMI n'est pas le seul critère pour juger d'un régime fiscal. Les États peuvent avoir de multiples objectifs, comme par exemple lisser les revenus au cours du temps, ou au contraire accumuler des revenus les premières années d'exploitation des projets, ou encore mettre en place un régime fiscal progressif et bien d'autres objectifs. Quoi qu'il en soit, le TEMI reste l'un des critères principaux pour juger d'un régime fiscal minier.</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br/>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t>Ce critère doit toujours être mis en perspective avec notamment un autre critère : le </w:t>
      </w:r>
      <w:r w:rsidRPr="000E1E69">
        <w:rPr>
          <w:rStyle w:val="lev"/>
          <w:rFonts w:ascii="Roboto" w:hAnsi="Roboto"/>
          <w:color w:val="114258"/>
          <w:bdr w:val="none" w:sz="0" w:space="0" w:color="auto" w:frame="1"/>
          <w:lang w:val="fr-FR"/>
        </w:rPr>
        <w:t>taux de rentabilité interne</w:t>
      </w:r>
      <w:r w:rsidRPr="000E1E69">
        <w:rPr>
          <w:rFonts w:ascii="Roboto" w:hAnsi="Roboto"/>
          <w:color w:val="114258"/>
          <w:bdr w:val="none" w:sz="0" w:space="0" w:color="auto" w:frame="1"/>
          <w:lang w:val="fr-FR"/>
        </w:rPr>
        <w:t> (TRI) après impôt. En effet, un TEMI élevé laisse entendre que l'État va pouvoir percevoir des revenus importants avec l'exploitation des ressources. Mais si ce TEMI élevé est le corollaire d'un TRI faible, d'un taux de rentabilité interne faible, alors les projets sont peu rentables et les investisseurs ne les mettront peut-être pas en œuvre. Dans ce cas-là, l'État ne percevra pas de revenus. À l'inverse, des TEMI faibles avec des taux de rentabilité interne élevés montrent une situation où les projets sont très rentables. Les investisseurs vont certainement les mettre en œuvre et vont certainement intensifier la production les premières années. Dans ce cas-là, l'État percevra peu de revenus et les revenus non-perçus seront définitivement perdus parce que la ressource est non-renouvelable. Le choix d'un régime fiscal est donc extrêmement difficile et le choix du bon TEMI n'est pas un choix facile.</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br/>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t>Ce choix est d'autant plus difficile que la valeur du TEMI n'est pas figée dans le temps. Durant la durée de vie d'un projet, de nombreux facteurs peuvent modifier les éléments constitutifs du TEMI : les cours mondiaux sont erratiques, donc les revenus peuvent changer, les coûts d'exploitation peuvent être plus élevés que prévu en raison de conditions géologiques inattendues ou de mouvements sociopolitiques par exemple, et donc, ces éléments ont une forte variabilité. La conséquence, c'est que l'État ne connaît pas, à un moment donné, avec précision, ex-ante, la valeur des TEMI sur les projets qui vont être mises en œuvre et notamment au moment de la délivrance du permis d'exploitation.</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br/>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Style w:val="lev"/>
          <w:rFonts w:ascii="Roboto" w:hAnsi="Roboto"/>
          <w:color w:val="026D8E"/>
          <w:sz w:val="33"/>
          <w:szCs w:val="33"/>
          <w:bdr w:val="none" w:sz="0" w:space="0" w:color="auto" w:frame="1"/>
          <w:lang w:val="fr-FR"/>
        </w:rPr>
        <w:t>Quelles données permettent d’estimer le taux effectif moyen d’imposition (TEMI) ?</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t xml:space="preserve">Dans ce contexte, il est important de collecter les données nécessaires à l'évaluation du TEMI et surtout de les actualiser. Alors, quelles sont ces données ? Les données de coûts et de revenus des entreprises peuvent être obtenues auprès des rapports annuels des maisons mères, mais ces données sont parfois indisponibles. Certaines institutions internationales recommandent la publication des contrats qui déterminent un certain nombre d'éléments, notamment la fiscalité. </w:t>
      </w:r>
      <w:r w:rsidRPr="000E1E69">
        <w:rPr>
          <w:rFonts w:ascii="Roboto" w:hAnsi="Roboto"/>
          <w:color w:val="114258"/>
          <w:bdr w:val="none" w:sz="0" w:space="0" w:color="auto" w:frame="1"/>
          <w:lang w:val="fr-FR"/>
        </w:rPr>
        <w:lastRenderedPageBreak/>
        <w:t>C'est par exemple l'Initiative pour la Transparence des Industries Extractives (ITIE) ou la Société Financière Internationale (SFI). Certains pays obligent les multinationales, les maisons mères, à publier ces documents et à actualiser régulièrement les documents techniques, mais aussi économiques, sur l'exploitation des mines à l'étranger. C'est le cas du Canada. Les données de cours mondiaux sont accessibles via le net, mais aussi par plusieurs institutions internationales qui publient ces cours pour les minerais liquides, notamment le pétrole, mais aussi pour un certain nombre de minerais solides. Ces prévisions de cours sur les quatre, cinq ou six prochaines années sont donc souvent disponibles.</w:t>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br/>
      </w:r>
    </w:p>
    <w:p w:rsidR="000E1E69" w:rsidRPr="000E1E69" w:rsidRDefault="000E1E69" w:rsidP="000E1E69">
      <w:pPr>
        <w:pStyle w:val="NormalWeb"/>
        <w:shd w:val="clear" w:color="auto" w:fill="FFFFFF"/>
        <w:spacing w:before="0" w:beforeAutospacing="0" w:after="0" w:afterAutospacing="0"/>
        <w:textAlignment w:val="baseline"/>
        <w:rPr>
          <w:rFonts w:ascii="Roboto" w:hAnsi="Roboto"/>
          <w:color w:val="313537"/>
          <w:lang w:val="fr-FR"/>
        </w:rPr>
      </w:pPr>
      <w:r w:rsidRPr="000E1E69">
        <w:rPr>
          <w:rFonts w:ascii="Roboto" w:hAnsi="Roboto"/>
          <w:color w:val="114258"/>
          <w:bdr w:val="none" w:sz="0" w:space="0" w:color="auto" w:frame="1"/>
          <w:lang w:val="fr-FR"/>
        </w:rPr>
        <w:t>Appréhender tous ces éléments permet d'appréhender la dynamique du TEMI, donc le régime fiscal et, à terme, l'opportunité ou non de les réformer.</w:t>
      </w:r>
    </w:p>
    <w:p w:rsidR="00152CF9" w:rsidRDefault="00152CF9" w:rsidP="00152CF9">
      <w:pPr>
        <w:rPr>
          <w:lang w:val="fr-FR"/>
        </w:rPr>
      </w:pPr>
    </w:p>
    <w:p w:rsidR="00EA089D" w:rsidRPr="00EA089D" w:rsidRDefault="00EA089D" w:rsidP="00EA089D">
      <w:pPr>
        <w:pStyle w:val="Titre1"/>
        <w:shd w:val="clear" w:color="auto" w:fill="FFFFFF"/>
        <w:spacing w:before="0" w:beforeAutospacing="0" w:after="0" w:afterAutospacing="0"/>
        <w:textAlignment w:val="baseline"/>
        <w:rPr>
          <w:rFonts w:ascii="Arial" w:hAnsi="Arial" w:cs="Arial"/>
          <w:color w:val="124258"/>
          <w:lang w:val="fr-FR"/>
        </w:rPr>
      </w:pPr>
      <w:r w:rsidRPr="00EA089D">
        <w:rPr>
          <w:rFonts w:ascii="Arial" w:hAnsi="Arial" w:cs="Arial"/>
          <w:color w:val="124258"/>
          <w:lang w:val="fr-FR"/>
        </w:rPr>
        <w:t>I.3 L'intérêt des modèles de partage de la rente</w:t>
      </w:r>
    </w:p>
    <w:p w:rsidR="00EA089D" w:rsidRPr="00EA089D" w:rsidRDefault="00EA089D" w:rsidP="00EA089D">
      <w:pPr>
        <w:pStyle w:val="NormalWeb"/>
        <w:shd w:val="clear" w:color="auto" w:fill="F3F3F3"/>
        <w:spacing w:before="0" w:beforeAutospacing="0" w:after="0" w:afterAutospacing="0"/>
        <w:jc w:val="center"/>
        <w:textAlignment w:val="baseline"/>
        <w:rPr>
          <w:color w:val="313537"/>
          <w:lang w:val="fr-FR"/>
        </w:rPr>
      </w:pPr>
      <w:r w:rsidRPr="00EA089D">
        <w:rPr>
          <w:rStyle w:val="lev"/>
          <w:color w:val="026E8F"/>
          <w:sz w:val="26"/>
          <w:szCs w:val="26"/>
          <w:bdr w:val="none" w:sz="0" w:space="0" w:color="auto" w:frame="1"/>
          <w:lang w:val="fr-FR"/>
        </w:rPr>
        <w:t>Donnons la parole à Mario Mansour</w:t>
      </w:r>
      <w:r w:rsidRPr="00EA089D">
        <w:rPr>
          <w:color w:val="026E8F"/>
          <w:sz w:val="26"/>
          <w:szCs w:val="26"/>
          <w:bdr w:val="none" w:sz="0" w:space="0" w:color="auto" w:frame="1"/>
          <w:lang w:val="fr-FR"/>
        </w:rPr>
        <w:t>, coordinateur du Centre Régional d'Assistance Technique pour le Moyen-Orient, FMI.</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Style w:val="lev"/>
          <w:rFonts w:ascii="Roboto" w:hAnsi="Roboto"/>
          <w:color w:val="026D8E"/>
          <w:sz w:val="33"/>
          <w:szCs w:val="33"/>
          <w:bdr w:val="none" w:sz="0" w:space="0" w:color="auto" w:frame="1"/>
          <w:lang w:val="fr-FR"/>
        </w:rPr>
        <w:t>Quels sont les avantages et les inconvénients des modèles de partage de rente ?</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br/>
        <w:t xml:space="preserve">L’instrument d’analyse du partage de la rente est une partie intégrante de l’assistance technique au FMI (Fonds Monétaire International). On a d’ailleurs un modèle, qui est accessible sur internet, qui s’appelle le FARI (Fiscal </w:t>
      </w:r>
      <w:proofErr w:type="spellStart"/>
      <w:r w:rsidRPr="00502BF9">
        <w:rPr>
          <w:rFonts w:ascii="Roboto" w:hAnsi="Roboto"/>
          <w:color w:val="114258"/>
          <w:bdr w:val="none" w:sz="0" w:space="0" w:color="auto" w:frame="1"/>
          <w:lang w:val="fr-FR"/>
        </w:rPr>
        <w:t>Analysis</w:t>
      </w:r>
      <w:proofErr w:type="spellEnd"/>
      <w:r w:rsidRPr="00502BF9">
        <w:rPr>
          <w:rFonts w:ascii="Roboto" w:hAnsi="Roboto"/>
          <w:color w:val="114258"/>
          <w:bdr w:val="none" w:sz="0" w:space="0" w:color="auto" w:frame="1"/>
          <w:lang w:val="fr-FR"/>
        </w:rPr>
        <w:t xml:space="preserve"> of Resource Industries). Et ce modèle nous donne essentiellement trois informations :</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br/>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Style w:val="lev"/>
          <w:rFonts w:ascii="Roboto" w:hAnsi="Roboto"/>
          <w:color w:val="114258"/>
          <w:sz w:val="30"/>
          <w:szCs w:val="30"/>
          <w:u w:val="single"/>
          <w:bdr w:val="none" w:sz="0" w:space="0" w:color="auto" w:frame="1"/>
          <w:lang w:val="fr-FR"/>
        </w:rPr>
        <w:t>La simulation du partage de la rente</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t>Premièrement, on peut simuler dans ce modèle quel serait le partage de la rente minière entre l’investisseur et le gouvernement pour un système fiscal donné. Et donc on peut changer ce système fiscal pour voir comment la rente change avec le changement de la fiscalité, mais aussi la composition de la part du gouvernement, qui est vraiment aussi importante pour les considérations d’efficience économique. Ce n’est pas uniquement la recette qui importe, mais la composition de la recette est aussi importante. Donc ce modèle nous permet d’étudier et de mieux estimer la composition de la recette et réfléchir en termes de fiscalité et effet sur l’investissement.</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br/>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Style w:val="lev"/>
          <w:rFonts w:ascii="Roboto" w:hAnsi="Roboto"/>
          <w:color w:val="114258"/>
          <w:sz w:val="30"/>
          <w:szCs w:val="30"/>
          <w:u w:val="single"/>
          <w:bdr w:val="none" w:sz="0" w:space="0" w:color="auto" w:frame="1"/>
          <w:lang w:val="fr-FR"/>
        </w:rPr>
        <w:t>La comparaison du partage de la rente</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t>La seconde raison pour laquelle ces modèles sont importants et sont utiles est qu’on peut comparer les résultats avec les régimes fiscaux des autres pays. On peut comparer la fiscalité de son pays avec les pays qui sont comparables et voir si l’on est en-dessous ou au-dessus ou dans la moyenne. C’est utile parce que ça donne une certaine assurance au législateur qu’on n’est pas en train de construire une fiscalité extrêmement plus importante qu’ailleurs.</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lastRenderedPageBreak/>
        <w:br/>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Style w:val="lev"/>
          <w:rFonts w:ascii="Roboto" w:hAnsi="Roboto"/>
          <w:color w:val="114258"/>
          <w:sz w:val="30"/>
          <w:szCs w:val="30"/>
          <w:u w:val="single"/>
          <w:bdr w:val="none" w:sz="0" w:space="0" w:color="auto" w:frame="1"/>
          <w:lang w:val="fr-FR"/>
        </w:rPr>
        <w:t>La réalisation de prévisions</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t xml:space="preserve">Et finalement, une chose qui est un peu plus compliquée à faire parce qu’elle requiert des données beaucoup plus détaillées, ces modèles peuvent être utilisés pour estimer la recette dans le temps, projet par projet. C’est-à-dire, si aujourd’hui j’ai un projet minier donné, j’ai des volumes, j’ai de l’information sur les technologies de production et de l’information sur les prix, je peux estimer avec un certain degré de confiance, combien le projet va rapporter au fisc au début de l’année. Et donc on peut faire des estimations aussi à moyen terme, sur les trois années ou les cinq années à venir. Bien sûr ces estimations sont sujettes au changement dans les technologies de production ou dans les coûts ou dans les prix des produits miniers. Donc, </w:t>
      </w:r>
      <w:proofErr w:type="gramStart"/>
      <w:r w:rsidRPr="00502BF9">
        <w:rPr>
          <w:rFonts w:ascii="Roboto" w:hAnsi="Roboto"/>
          <w:color w:val="114258"/>
          <w:bdr w:val="none" w:sz="0" w:space="0" w:color="auto" w:frame="1"/>
          <w:lang w:val="fr-FR"/>
        </w:rPr>
        <w:t>c’est déjà pas</w:t>
      </w:r>
      <w:proofErr w:type="gramEnd"/>
      <w:r w:rsidRPr="00502BF9">
        <w:rPr>
          <w:rFonts w:ascii="Roboto" w:hAnsi="Roboto"/>
          <w:color w:val="114258"/>
          <w:bdr w:val="none" w:sz="0" w:space="0" w:color="auto" w:frame="1"/>
          <w:lang w:val="fr-FR"/>
        </w:rPr>
        <w:t xml:space="preserve"> mal : 1) utiliser cet outil pour estimer la rente minière et 2) les effets de la rente sur l’investissement et 3) les prévisions de la recette.</w:t>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Fonts w:ascii="Roboto" w:hAnsi="Roboto"/>
          <w:color w:val="114258"/>
          <w:bdr w:val="none" w:sz="0" w:space="0" w:color="auto" w:frame="1"/>
          <w:lang w:val="fr-FR"/>
        </w:rPr>
        <w:br/>
        <w:t>Par contre, il ne faut pas oublier que la modélisation n’est qu’une partie dans les décisions des politiques fiscales :</w:t>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Fonts w:ascii="Roboto" w:hAnsi="Roboto"/>
          <w:color w:val="114258"/>
          <w:bdr w:val="none" w:sz="0" w:space="0" w:color="auto" w:frame="1"/>
          <w:lang w:val="fr-FR"/>
        </w:rPr>
        <w:br/>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Style w:val="lev"/>
          <w:rFonts w:ascii="Roboto" w:hAnsi="Roboto"/>
          <w:color w:val="114258"/>
          <w:sz w:val="30"/>
          <w:szCs w:val="30"/>
          <w:u w:val="single"/>
          <w:bdr w:val="none" w:sz="0" w:space="0" w:color="auto" w:frame="1"/>
          <w:lang w:val="fr-FR"/>
        </w:rPr>
        <w:t>L’absence de modélisation des comportements de l’investisseur et de l’État</w:t>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Fonts w:ascii="Roboto" w:hAnsi="Roboto"/>
          <w:color w:val="114258"/>
          <w:bdr w:val="none" w:sz="0" w:space="0" w:color="auto" w:frame="1"/>
          <w:lang w:val="fr-FR"/>
        </w:rPr>
        <w:t xml:space="preserve">Premièrement, il y a des faiblesses de ces modèles qui viennent du fait qu’ils sont purement statiques. Il n’y a pas vraiment une modélisation du comportement de l’investisseur et de l’État, face à des chocs, soit économiques, soit politiques. C’est très difficile, ou à mon sens pas du tout possible, de modéliser l’impact </w:t>
      </w:r>
      <w:r w:rsidR="001B5520" w:rsidRPr="00EA089D">
        <w:rPr>
          <w:rFonts w:ascii="Roboto" w:hAnsi="Roboto"/>
          <w:color w:val="114258"/>
          <w:bdr w:val="none" w:sz="0" w:space="0" w:color="auto" w:frame="1"/>
          <w:lang w:val="fr-FR"/>
        </w:rPr>
        <w:t>de</w:t>
      </w:r>
      <w:r w:rsidRPr="00EA089D">
        <w:rPr>
          <w:rFonts w:ascii="Roboto" w:hAnsi="Roboto"/>
          <w:color w:val="114258"/>
          <w:bdr w:val="none" w:sz="0" w:space="0" w:color="auto" w:frame="1"/>
          <w:lang w:val="fr-FR"/>
        </w:rPr>
        <w:t xml:space="preserve"> ces comportements.</w:t>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Fonts w:ascii="Roboto" w:hAnsi="Roboto"/>
          <w:color w:val="114258"/>
          <w:bdr w:val="none" w:sz="0" w:space="0" w:color="auto" w:frame="1"/>
          <w:lang w:val="fr-FR"/>
        </w:rPr>
        <w:br/>
      </w:r>
    </w:p>
    <w:p w:rsidR="00EA089D" w:rsidRPr="00EA089D"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Style w:val="lev"/>
          <w:rFonts w:ascii="Roboto" w:hAnsi="Roboto"/>
          <w:color w:val="114258"/>
          <w:sz w:val="30"/>
          <w:szCs w:val="30"/>
          <w:u w:val="single"/>
          <w:bdr w:val="none" w:sz="0" w:space="0" w:color="auto" w:frame="1"/>
          <w:lang w:val="fr-FR"/>
        </w:rPr>
        <w:t>La nécessité d’une mise à jour régulière</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EA089D">
        <w:rPr>
          <w:rFonts w:ascii="Roboto" w:hAnsi="Roboto"/>
          <w:color w:val="114258"/>
          <w:bdr w:val="none" w:sz="0" w:space="0" w:color="auto" w:frame="1"/>
          <w:lang w:val="fr-FR"/>
        </w:rPr>
        <w:t xml:space="preserve">Deuxièmement, il ne faut pas oublier que ces modèles, pour qu’ils soient utiles, il faut vraiment les mettre à jour annuellement. </w:t>
      </w:r>
      <w:r w:rsidRPr="00502BF9">
        <w:rPr>
          <w:rFonts w:ascii="Roboto" w:hAnsi="Roboto"/>
          <w:color w:val="114258"/>
          <w:bdr w:val="none" w:sz="0" w:space="0" w:color="auto" w:frame="1"/>
          <w:lang w:val="fr-FR"/>
        </w:rPr>
        <w:t>Donc il y a un certain investissement à faire dans ces modèles que beaucoup de pays ne font pas et donc rapidement ces modèles deviennent désuets pour informer les décisions en termes de politique fiscale pour ce secteur.</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br/>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Style w:val="lev"/>
          <w:rFonts w:ascii="Roboto" w:hAnsi="Roboto"/>
          <w:color w:val="114258"/>
          <w:sz w:val="30"/>
          <w:szCs w:val="30"/>
          <w:u w:val="single"/>
          <w:bdr w:val="none" w:sz="0" w:space="0" w:color="auto" w:frame="1"/>
          <w:lang w:val="fr-FR"/>
        </w:rPr>
        <w:t>Des facteurs non-pris en compte</w:t>
      </w:r>
    </w:p>
    <w:p w:rsidR="00EA089D" w:rsidRPr="00502BF9" w:rsidRDefault="00EA089D" w:rsidP="00EA089D">
      <w:pPr>
        <w:pStyle w:val="NormalWeb"/>
        <w:shd w:val="clear" w:color="auto" w:fill="FFFFFF"/>
        <w:spacing w:before="0" w:beforeAutospacing="0" w:after="0" w:afterAutospacing="0"/>
        <w:textAlignment w:val="baseline"/>
        <w:rPr>
          <w:rFonts w:ascii="Roboto" w:hAnsi="Roboto"/>
          <w:color w:val="313537"/>
          <w:lang w:val="fr-FR"/>
        </w:rPr>
      </w:pPr>
      <w:r w:rsidRPr="00502BF9">
        <w:rPr>
          <w:rFonts w:ascii="Roboto" w:hAnsi="Roboto"/>
          <w:color w:val="114258"/>
          <w:bdr w:val="none" w:sz="0" w:space="0" w:color="auto" w:frame="1"/>
          <w:lang w:val="fr-FR"/>
        </w:rPr>
        <w:t>Et troisièmement, et ça c’est une question extrêmement importante dans le design des politiques fiscales, et surtout des politiques fiscales du secteur minier, il y a énormément de facteurs qu’on ne peut pas prendre en compte dans ces modèles. Par exemple, il y a le volet de la politique économique de la fiscalité des ressources naturelles. Qu’est-ce qui arrive si un nouveau gouvernement prend en charge la gestion du pays ? Est-ce que ce nouveau gouvernement va adopter les mêmes politiques ou va les changer ? Donc ces modèles sont importants, mais il faut vraiment garder en tête qu’il y a des choses que ces modèles ne peuvent pas faire. Et donc c’est seulement une aide à la décision, mais la décision est beaucoup plus complexe que ces modèles ne le laissent penser.</w:t>
      </w:r>
    </w:p>
    <w:p w:rsidR="00EA089D" w:rsidRDefault="00EA089D" w:rsidP="00152CF9">
      <w:pPr>
        <w:rPr>
          <w:lang w:val="fr-FR"/>
        </w:rPr>
      </w:pPr>
    </w:p>
    <w:p w:rsidR="00502BF9" w:rsidRPr="00502BF9" w:rsidRDefault="00502BF9" w:rsidP="00502BF9">
      <w:pPr>
        <w:shd w:val="clear" w:color="auto" w:fill="FFFFFF"/>
        <w:spacing w:after="0" w:line="240" w:lineRule="auto"/>
        <w:textAlignment w:val="baseline"/>
        <w:outlineLvl w:val="0"/>
        <w:rPr>
          <w:rFonts w:ascii="Arial" w:eastAsia="Times New Roman" w:hAnsi="Arial" w:cs="Arial"/>
          <w:b/>
          <w:bCs/>
          <w:color w:val="124258"/>
          <w:kern w:val="36"/>
          <w:sz w:val="48"/>
          <w:szCs w:val="48"/>
          <w:lang w:val="fr-FR"/>
        </w:rPr>
      </w:pPr>
      <w:r w:rsidRPr="00502BF9">
        <w:rPr>
          <w:rFonts w:ascii="Arial" w:eastAsia="Times New Roman" w:hAnsi="Arial" w:cs="Arial"/>
          <w:b/>
          <w:bCs/>
          <w:color w:val="124258"/>
          <w:kern w:val="36"/>
          <w:sz w:val="48"/>
          <w:szCs w:val="48"/>
          <w:lang w:val="fr-FR"/>
        </w:rPr>
        <w:lastRenderedPageBreak/>
        <w:t>I.4 La mise en accès libre de certains modèles</w:t>
      </w:r>
    </w:p>
    <w:p w:rsidR="00502BF9" w:rsidRPr="00502BF9" w:rsidRDefault="00502BF9" w:rsidP="00502BF9">
      <w:pPr>
        <w:shd w:val="clear" w:color="auto" w:fill="F3F3F3"/>
        <w:spacing w:after="0" w:line="240" w:lineRule="auto"/>
        <w:jc w:val="center"/>
        <w:textAlignment w:val="baseline"/>
        <w:rPr>
          <w:rFonts w:ascii="Times New Roman" w:eastAsia="Times New Roman" w:hAnsi="Times New Roman" w:cs="Times New Roman"/>
          <w:color w:val="313537"/>
          <w:sz w:val="24"/>
          <w:szCs w:val="24"/>
          <w:lang w:val="fr-FR"/>
        </w:rPr>
      </w:pPr>
      <w:r w:rsidRPr="00502BF9">
        <w:rPr>
          <w:rFonts w:ascii="Times New Roman" w:eastAsia="Times New Roman" w:hAnsi="Times New Roman" w:cs="Times New Roman"/>
          <w:color w:val="026E8F"/>
          <w:sz w:val="26"/>
          <w:szCs w:val="26"/>
          <w:bdr w:val="none" w:sz="0" w:space="0" w:color="auto" w:frame="1"/>
          <w:lang w:val="fr-FR"/>
        </w:rPr>
        <w:t>Différents Instituts de recherche et Organisations internationales mettent à disposition</w:t>
      </w:r>
      <w:r w:rsidRPr="00502BF9">
        <w:rPr>
          <w:rFonts w:ascii="Times New Roman" w:eastAsia="Times New Roman" w:hAnsi="Times New Roman" w:cs="Times New Roman"/>
          <w:b/>
          <w:bCs/>
          <w:color w:val="026E8F"/>
          <w:sz w:val="26"/>
          <w:szCs w:val="26"/>
          <w:bdr w:val="none" w:sz="0" w:space="0" w:color="auto" w:frame="1"/>
          <w:lang w:val="fr-FR"/>
        </w:rPr>
        <w:t> des modèles de flux de trésorerie</w:t>
      </w:r>
      <w:r w:rsidRPr="00502BF9">
        <w:rPr>
          <w:rFonts w:ascii="Times New Roman" w:eastAsia="Times New Roman" w:hAnsi="Times New Roman" w:cs="Times New Roman"/>
          <w:color w:val="026E8F"/>
          <w:sz w:val="26"/>
          <w:szCs w:val="26"/>
          <w:bdr w:val="none" w:sz="0" w:space="0" w:color="auto" w:frame="1"/>
          <w:lang w:val="fr-FR"/>
        </w:rPr>
        <w:t> pour le calcul et l'analyse du partage de la rente minière et pétrolière.</w:t>
      </w:r>
    </w:p>
    <w:p w:rsidR="00502BF9" w:rsidRPr="00502BF9" w:rsidRDefault="00502BF9" w:rsidP="00502BF9">
      <w:pPr>
        <w:spacing w:after="0" w:line="240" w:lineRule="auto"/>
        <w:textAlignment w:val="baseline"/>
        <w:rPr>
          <w:rFonts w:ascii="Arial" w:eastAsia="Times New Roman" w:hAnsi="Arial" w:cs="Arial"/>
          <w:color w:val="313537"/>
          <w:sz w:val="24"/>
          <w:szCs w:val="24"/>
        </w:rPr>
      </w:pPr>
      <w:r w:rsidRPr="00502BF9">
        <w:rPr>
          <w:rFonts w:ascii="Arial" w:eastAsia="Times New Roman" w:hAnsi="Arial" w:cs="Arial"/>
          <w:noProof/>
          <w:color w:val="313537"/>
          <w:sz w:val="24"/>
          <w:szCs w:val="24"/>
        </w:rPr>
        <w:drawing>
          <wp:inline distT="0" distB="0" distL="0" distR="0">
            <wp:extent cx="353291" cy="357339"/>
            <wp:effectExtent l="0" t="0" r="8890" b="5080"/>
            <wp:docPr id="2" name="Image 2" descr="Fichier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chier 7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499" cy="368676"/>
                    </a:xfrm>
                    <a:prstGeom prst="rect">
                      <a:avLst/>
                    </a:prstGeom>
                    <a:noFill/>
                    <a:ln>
                      <a:noFill/>
                    </a:ln>
                  </pic:spPr>
                </pic:pic>
              </a:graphicData>
            </a:graphic>
          </wp:inline>
        </w:drawing>
      </w:r>
    </w:p>
    <w:p w:rsidR="00502BF9" w:rsidRPr="00502BF9" w:rsidRDefault="00502BF9" w:rsidP="00502BF9">
      <w:pPr>
        <w:shd w:val="clear" w:color="auto" w:fill="F3F3F3"/>
        <w:spacing w:after="0" w:line="480" w:lineRule="auto"/>
        <w:textAlignment w:val="baseline"/>
        <w:rPr>
          <w:rFonts w:ascii="Times New Roman" w:eastAsia="Times New Roman" w:hAnsi="Times New Roman" w:cs="Times New Roman"/>
          <w:color w:val="313537"/>
          <w:sz w:val="24"/>
          <w:szCs w:val="24"/>
          <w:lang w:val="fr-FR"/>
        </w:rPr>
      </w:pPr>
      <w:r w:rsidRPr="00502BF9">
        <w:rPr>
          <w:rFonts w:ascii="Times New Roman" w:eastAsia="Times New Roman" w:hAnsi="Times New Roman" w:cs="Times New Roman"/>
          <w:b/>
          <w:bCs/>
          <w:color w:val="026E8F"/>
          <w:sz w:val="30"/>
          <w:szCs w:val="30"/>
          <w:u w:val="single"/>
          <w:bdr w:val="none" w:sz="0" w:space="0" w:color="auto" w:frame="1"/>
          <w:lang w:val="fr-FR"/>
        </w:rPr>
        <w:t>Sites internet de référence</w:t>
      </w:r>
      <w:r w:rsidRPr="00502BF9">
        <w:rPr>
          <w:rFonts w:ascii="Times New Roman" w:eastAsia="Times New Roman" w:hAnsi="Times New Roman" w:cs="Times New Roman"/>
          <w:color w:val="313537"/>
          <w:sz w:val="24"/>
          <w:szCs w:val="24"/>
          <w:lang w:val="fr-FR"/>
        </w:rPr>
        <w:br/>
      </w:r>
      <w:r w:rsidRPr="00502BF9">
        <w:rPr>
          <w:rFonts w:ascii="Times New Roman" w:eastAsia="Times New Roman" w:hAnsi="Times New Roman" w:cs="Times New Roman"/>
          <w:i/>
          <w:iCs/>
          <w:color w:val="026D8E"/>
          <w:sz w:val="23"/>
          <w:szCs w:val="23"/>
          <w:bdr w:val="none" w:sz="0" w:space="0" w:color="auto" w:frame="1"/>
          <w:lang w:val="fr-FR"/>
        </w:rPr>
        <w:t>Liens vers </w:t>
      </w:r>
      <w:r w:rsidRPr="00502BF9">
        <w:rPr>
          <w:rFonts w:ascii="Times New Roman" w:eastAsia="Times New Roman" w:hAnsi="Times New Roman" w:cs="Times New Roman"/>
          <w:b/>
          <w:bCs/>
          <w:i/>
          <w:iCs/>
          <w:color w:val="026D8E"/>
          <w:sz w:val="23"/>
          <w:szCs w:val="23"/>
          <w:bdr w:val="none" w:sz="0" w:space="0" w:color="auto" w:frame="1"/>
          <w:lang w:val="fr-FR"/>
        </w:rPr>
        <w:t>des média web </w:t>
      </w:r>
      <w:r w:rsidRPr="00502BF9">
        <w:rPr>
          <w:rFonts w:ascii="Times New Roman" w:eastAsia="Times New Roman" w:hAnsi="Times New Roman" w:cs="Times New Roman"/>
          <w:i/>
          <w:iCs/>
          <w:color w:val="026D8E"/>
          <w:sz w:val="23"/>
          <w:szCs w:val="23"/>
          <w:bdr w:val="none" w:sz="0" w:space="0" w:color="auto" w:frame="1"/>
          <w:lang w:val="fr-FR"/>
        </w:rPr>
        <w:t>de référence.</w:t>
      </w:r>
    </w:p>
    <w:p w:rsidR="00502BF9" w:rsidRPr="00502BF9" w:rsidRDefault="00502BF9" w:rsidP="00502BF9">
      <w:pPr>
        <w:shd w:val="clear" w:color="auto" w:fill="F3F3F3"/>
        <w:spacing w:after="0" w:line="240" w:lineRule="auto"/>
        <w:textAlignment w:val="baseline"/>
        <w:rPr>
          <w:rFonts w:ascii="Arial" w:eastAsia="Times New Roman" w:hAnsi="Arial" w:cs="Arial"/>
          <w:color w:val="313537"/>
          <w:sz w:val="24"/>
          <w:szCs w:val="24"/>
        </w:rPr>
      </w:pPr>
      <w:r w:rsidRPr="00502BF9">
        <w:rPr>
          <w:rFonts w:ascii="Arial" w:eastAsia="Times New Roman" w:hAnsi="Arial" w:cs="Arial"/>
          <w:b/>
          <w:bCs/>
          <w:color w:val="026D8E"/>
          <w:sz w:val="23"/>
          <w:szCs w:val="23"/>
          <w:bdr w:val="none" w:sz="0" w:space="0" w:color="auto" w:frame="1"/>
        </w:rPr>
        <w:t>Columbia Center on Sustainable Investment (CCSI)</w:t>
      </w:r>
    </w:p>
    <w:p w:rsidR="00502BF9" w:rsidRPr="00502BF9" w:rsidRDefault="00F2482E" w:rsidP="00502BF9">
      <w:pPr>
        <w:shd w:val="clear" w:color="auto" w:fill="F3F3F3"/>
        <w:spacing w:after="0" w:line="240" w:lineRule="auto"/>
        <w:textAlignment w:val="baseline"/>
        <w:rPr>
          <w:rFonts w:ascii="Arial" w:eastAsia="Times New Roman" w:hAnsi="Arial" w:cs="Arial"/>
          <w:color w:val="313537"/>
          <w:sz w:val="24"/>
          <w:szCs w:val="24"/>
        </w:rPr>
      </w:pPr>
      <w:hyperlink r:id="rId6" w:tgtFrame="_blank" w:history="1">
        <w:r w:rsidR="00502BF9" w:rsidRPr="00502BF9">
          <w:rPr>
            <w:rFonts w:ascii="Arial" w:eastAsia="Times New Roman" w:hAnsi="Arial" w:cs="Arial"/>
            <w:b/>
            <w:bCs/>
            <w:caps/>
            <w:color w:val="FFFFFF"/>
            <w:spacing w:val="10"/>
            <w:sz w:val="24"/>
            <w:szCs w:val="24"/>
            <w:u w:val="single"/>
            <w:shd w:val="clear" w:color="auto" w:fill="114258"/>
          </w:rPr>
          <w:t>PAR ICI</w:t>
        </w:r>
        <w:r w:rsidR="00502BF9" w:rsidRPr="00502BF9">
          <w:rPr>
            <w:rFonts w:ascii="Arial" w:eastAsia="Times New Roman" w:hAnsi="Arial" w:cs="Arial"/>
            <w:b/>
            <w:bCs/>
            <w:caps/>
            <w:color w:val="FFFFFF"/>
            <w:spacing w:val="10"/>
            <w:sz w:val="24"/>
            <w:szCs w:val="24"/>
            <w:shd w:val="clear" w:color="auto" w:fill="114258"/>
          </w:rPr>
          <w:t>(OPENS IN A NEW TAB)</w:t>
        </w:r>
      </w:hyperlink>
    </w:p>
    <w:p w:rsidR="00502BF9" w:rsidRPr="00502BF9" w:rsidRDefault="00502BF9" w:rsidP="00502BF9">
      <w:pPr>
        <w:shd w:val="clear" w:color="auto" w:fill="F3F3F3"/>
        <w:spacing w:after="0" w:line="240" w:lineRule="auto"/>
        <w:textAlignment w:val="baseline"/>
        <w:rPr>
          <w:rFonts w:ascii="Arial" w:eastAsia="Times New Roman" w:hAnsi="Arial" w:cs="Arial"/>
          <w:color w:val="313537"/>
          <w:sz w:val="24"/>
          <w:szCs w:val="24"/>
        </w:rPr>
      </w:pPr>
      <w:r w:rsidRPr="00502BF9">
        <w:rPr>
          <w:rFonts w:ascii="Arial" w:eastAsia="Times New Roman" w:hAnsi="Arial" w:cs="Arial"/>
          <w:b/>
          <w:bCs/>
          <w:color w:val="026D8E"/>
          <w:sz w:val="23"/>
          <w:szCs w:val="23"/>
          <w:bdr w:val="none" w:sz="0" w:space="0" w:color="auto" w:frame="1"/>
        </w:rPr>
        <w:t>Fiscal Analysis for Resource Industry (FARI)</w:t>
      </w:r>
    </w:p>
    <w:p w:rsidR="00502BF9" w:rsidRPr="00502BF9" w:rsidRDefault="00F2482E" w:rsidP="00502BF9">
      <w:pPr>
        <w:shd w:val="clear" w:color="auto" w:fill="F3F3F3"/>
        <w:spacing w:after="0" w:line="240" w:lineRule="auto"/>
        <w:textAlignment w:val="baseline"/>
        <w:rPr>
          <w:rFonts w:ascii="Arial" w:eastAsia="Times New Roman" w:hAnsi="Arial" w:cs="Arial"/>
          <w:color w:val="313537"/>
          <w:sz w:val="24"/>
          <w:szCs w:val="24"/>
        </w:rPr>
      </w:pPr>
      <w:hyperlink r:id="rId7" w:tgtFrame="_blank" w:history="1">
        <w:r w:rsidR="00502BF9" w:rsidRPr="00502BF9">
          <w:rPr>
            <w:rFonts w:ascii="Arial" w:eastAsia="Times New Roman" w:hAnsi="Arial" w:cs="Arial"/>
            <w:b/>
            <w:bCs/>
            <w:caps/>
            <w:color w:val="FFFFFF"/>
            <w:spacing w:val="10"/>
            <w:sz w:val="24"/>
            <w:szCs w:val="24"/>
            <w:u w:val="single"/>
            <w:shd w:val="clear" w:color="auto" w:fill="114258"/>
          </w:rPr>
          <w:t>PAR ICI</w:t>
        </w:r>
        <w:r w:rsidR="00502BF9" w:rsidRPr="00502BF9">
          <w:rPr>
            <w:rFonts w:ascii="Arial" w:eastAsia="Times New Roman" w:hAnsi="Arial" w:cs="Arial"/>
            <w:b/>
            <w:bCs/>
            <w:caps/>
            <w:color w:val="FFFFFF"/>
            <w:spacing w:val="10"/>
            <w:sz w:val="24"/>
            <w:szCs w:val="24"/>
            <w:shd w:val="clear" w:color="auto" w:fill="114258"/>
          </w:rPr>
          <w:t>(OPENS IN A NEW TAB)</w:t>
        </w:r>
      </w:hyperlink>
    </w:p>
    <w:p w:rsidR="00502BF9" w:rsidRPr="00502BF9" w:rsidRDefault="00502BF9" w:rsidP="00502BF9">
      <w:pPr>
        <w:shd w:val="clear" w:color="auto" w:fill="F3F3F3"/>
        <w:spacing w:after="0" w:line="240" w:lineRule="auto"/>
        <w:textAlignment w:val="baseline"/>
        <w:rPr>
          <w:rFonts w:ascii="Arial" w:eastAsia="Times New Roman" w:hAnsi="Arial" w:cs="Arial"/>
          <w:color w:val="313537"/>
          <w:sz w:val="24"/>
          <w:szCs w:val="24"/>
          <w:lang w:val="fr-FR"/>
        </w:rPr>
      </w:pPr>
      <w:r w:rsidRPr="00502BF9">
        <w:rPr>
          <w:rFonts w:ascii="Arial" w:eastAsia="Times New Roman" w:hAnsi="Arial" w:cs="Arial"/>
          <w:b/>
          <w:bCs/>
          <w:color w:val="026D8E"/>
          <w:sz w:val="23"/>
          <w:szCs w:val="23"/>
          <w:bdr w:val="none" w:sz="0" w:space="0" w:color="auto" w:frame="1"/>
          <w:lang w:val="fr-FR"/>
        </w:rPr>
        <w:t xml:space="preserve">Natural Resource </w:t>
      </w:r>
      <w:proofErr w:type="spellStart"/>
      <w:r w:rsidRPr="00502BF9">
        <w:rPr>
          <w:rFonts w:ascii="Arial" w:eastAsia="Times New Roman" w:hAnsi="Arial" w:cs="Arial"/>
          <w:b/>
          <w:bCs/>
          <w:color w:val="026D8E"/>
          <w:sz w:val="23"/>
          <w:szCs w:val="23"/>
          <w:bdr w:val="none" w:sz="0" w:space="0" w:color="auto" w:frame="1"/>
          <w:lang w:val="fr-FR"/>
        </w:rPr>
        <w:t>Governance</w:t>
      </w:r>
      <w:proofErr w:type="spellEnd"/>
      <w:r w:rsidRPr="00502BF9">
        <w:rPr>
          <w:rFonts w:ascii="Arial" w:eastAsia="Times New Roman" w:hAnsi="Arial" w:cs="Arial"/>
          <w:b/>
          <w:bCs/>
          <w:color w:val="026D8E"/>
          <w:sz w:val="23"/>
          <w:szCs w:val="23"/>
          <w:bdr w:val="none" w:sz="0" w:space="0" w:color="auto" w:frame="1"/>
          <w:lang w:val="fr-FR"/>
        </w:rPr>
        <w:t xml:space="preserve"> Institute (NRGI)</w:t>
      </w:r>
    </w:p>
    <w:p w:rsidR="00502BF9" w:rsidRPr="00502BF9" w:rsidRDefault="00F2482E" w:rsidP="00502BF9">
      <w:pPr>
        <w:shd w:val="clear" w:color="auto" w:fill="F3F3F3"/>
        <w:spacing w:after="0" w:line="240" w:lineRule="auto"/>
        <w:textAlignment w:val="baseline"/>
        <w:rPr>
          <w:rFonts w:ascii="Arial" w:eastAsia="Times New Roman" w:hAnsi="Arial" w:cs="Arial"/>
          <w:color w:val="313537"/>
          <w:sz w:val="24"/>
          <w:szCs w:val="24"/>
          <w:lang w:val="fr-FR"/>
        </w:rPr>
      </w:pPr>
      <w:hyperlink r:id="rId8" w:tgtFrame="_blank" w:history="1">
        <w:r w:rsidR="00502BF9" w:rsidRPr="00502BF9">
          <w:rPr>
            <w:rFonts w:ascii="Arial" w:eastAsia="Times New Roman" w:hAnsi="Arial" w:cs="Arial"/>
            <w:b/>
            <w:bCs/>
            <w:caps/>
            <w:color w:val="FFFFFF"/>
            <w:spacing w:val="10"/>
            <w:sz w:val="24"/>
            <w:szCs w:val="24"/>
            <w:u w:val="single"/>
            <w:shd w:val="clear" w:color="auto" w:fill="114258"/>
            <w:lang w:val="fr-FR"/>
          </w:rPr>
          <w:t>PAR ICI</w:t>
        </w:r>
      </w:hyperlink>
    </w:p>
    <w:p w:rsidR="00502BF9" w:rsidRPr="00156A96" w:rsidRDefault="00502BF9" w:rsidP="00152CF9">
      <w:pPr>
        <w:rPr>
          <w:lang w:val="fr-FR"/>
        </w:rPr>
      </w:pPr>
    </w:p>
    <w:p w:rsidR="00152CF9" w:rsidRPr="00156A96" w:rsidRDefault="00152CF9">
      <w:pPr>
        <w:rPr>
          <w:lang w:val="fr-FR"/>
        </w:rPr>
      </w:pPr>
    </w:p>
    <w:sectPr w:rsidR="00152CF9" w:rsidRPr="00156A9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A96"/>
    <w:rsid w:val="000B6BAC"/>
    <w:rsid w:val="000E1E69"/>
    <w:rsid w:val="00152CF9"/>
    <w:rsid w:val="00156A96"/>
    <w:rsid w:val="00196CC9"/>
    <w:rsid w:val="001B5520"/>
    <w:rsid w:val="004B6B05"/>
    <w:rsid w:val="00502BF9"/>
    <w:rsid w:val="00797AED"/>
    <w:rsid w:val="00E52094"/>
    <w:rsid w:val="00EA089D"/>
    <w:rsid w:val="00F24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72E11-F82A-4702-AC34-44EEB2B9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A96"/>
  </w:style>
  <w:style w:type="paragraph" w:styleId="Titre1">
    <w:name w:val="heading 1"/>
    <w:basedOn w:val="Normal"/>
    <w:link w:val="Titre1Car"/>
    <w:uiPriority w:val="9"/>
    <w:qFormat/>
    <w:rsid w:val="00156A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156A96"/>
    <w:rPr>
      <w:b/>
      <w:bCs/>
    </w:rPr>
  </w:style>
  <w:style w:type="character" w:customStyle="1" w:styleId="Titre1Car">
    <w:name w:val="Titre 1 Car"/>
    <w:basedOn w:val="Policepardfaut"/>
    <w:link w:val="Titre1"/>
    <w:uiPriority w:val="9"/>
    <w:rsid w:val="00156A9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56A96"/>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196CC9"/>
    <w:rPr>
      <w:i/>
      <w:iCs/>
    </w:rPr>
  </w:style>
  <w:style w:type="character" w:styleId="Lienhypertexte">
    <w:name w:val="Hyperlink"/>
    <w:basedOn w:val="Policepardfaut"/>
    <w:uiPriority w:val="99"/>
    <w:semiHidden/>
    <w:unhideWhenUsed/>
    <w:rsid w:val="00502BF9"/>
    <w:rPr>
      <w:color w:val="0000FF"/>
      <w:u w:val="single"/>
    </w:rPr>
  </w:style>
  <w:style w:type="character" w:customStyle="1" w:styleId="visually-hidden-always">
    <w:name w:val="visually-hidden-always"/>
    <w:basedOn w:val="Policepardfaut"/>
    <w:rsid w:val="00502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7242">
      <w:bodyDiv w:val="1"/>
      <w:marLeft w:val="0"/>
      <w:marRight w:val="0"/>
      <w:marTop w:val="0"/>
      <w:marBottom w:val="0"/>
      <w:divBdr>
        <w:top w:val="none" w:sz="0" w:space="0" w:color="auto"/>
        <w:left w:val="none" w:sz="0" w:space="0" w:color="auto"/>
        <w:bottom w:val="none" w:sz="0" w:space="0" w:color="auto"/>
        <w:right w:val="none" w:sz="0" w:space="0" w:color="auto"/>
      </w:divBdr>
      <w:divsChild>
        <w:div w:id="1569071914">
          <w:marLeft w:val="0"/>
          <w:marRight w:val="0"/>
          <w:marTop w:val="0"/>
          <w:marBottom w:val="0"/>
          <w:divBdr>
            <w:top w:val="none" w:sz="0" w:space="0" w:color="auto"/>
            <w:left w:val="none" w:sz="0" w:space="0" w:color="auto"/>
            <w:bottom w:val="none" w:sz="0" w:space="0" w:color="auto"/>
            <w:right w:val="none" w:sz="0" w:space="0" w:color="auto"/>
          </w:divBdr>
          <w:divsChild>
            <w:div w:id="69473821">
              <w:marLeft w:val="0"/>
              <w:marRight w:val="0"/>
              <w:marTop w:val="0"/>
              <w:marBottom w:val="0"/>
              <w:divBdr>
                <w:top w:val="none" w:sz="0" w:space="0" w:color="auto"/>
                <w:left w:val="none" w:sz="0" w:space="0" w:color="auto"/>
                <w:bottom w:val="none" w:sz="0" w:space="0" w:color="auto"/>
                <w:right w:val="none" w:sz="0" w:space="0" w:color="auto"/>
              </w:divBdr>
              <w:divsChild>
                <w:div w:id="1737699171">
                  <w:marLeft w:val="0"/>
                  <w:marRight w:val="0"/>
                  <w:marTop w:val="0"/>
                  <w:marBottom w:val="0"/>
                  <w:divBdr>
                    <w:top w:val="none" w:sz="0" w:space="0" w:color="auto"/>
                    <w:left w:val="none" w:sz="0" w:space="0" w:color="auto"/>
                    <w:bottom w:val="none" w:sz="0" w:space="0" w:color="auto"/>
                    <w:right w:val="none" w:sz="0" w:space="0" w:color="auto"/>
                  </w:divBdr>
                  <w:divsChild>
                    <w:div w:id="232666982">
                      <w:marLeft w:val="0"/>
                      <w:marRight w:val="0"/>
                      <w:marTop w:val="0"/>
                      <w:marBottom w:val="0"/>
                      <w:divBdr>
                        <w:top w:val="none" w:sz="0" w:space="0" w:color="auto"/>
                        <w:left w:val="none" w:sz="0" w:space="0" w:color="auto"/>
                        <w:bottom w:val="none" w:sz="0" w:space="0" w:color="auto"/>
                        <w:right w:val="none" w:sz="0" w:space="0" w:color="auto"/>
                      </w:divBdr>
                      <w:divsChild>
                        <w:div w:id="734815866">
                          <w:marLeft w:val="1187"/>
                          <w:marRight w:val="0"/>
                          <w:marTop w:val="0"/>
                          <w:marBottom w:val="0"/>
                          <w:divBdr>
                            <w:top w:val="none" w:sz="0" w:space="0" w:color="auto"/>
                            <w:left w:val="none" w:sz="0" w:space="0" w:color="auto"/>
                            <w:bottom w:val="none" w:sz="0" w:space="0" w:color="auto"/>
                            <w:right w:val="none" w:sz="0" w:space="0" w:color="auto"/>
                          </w:divBdr>
                          <w:divsChild>
                            <w:div w:id="1946577972">
                              <w:marLeft w:val="0"/>
                              <w:marRight w:val="0"/>
                              <w:marTop w:val="0"/>
                              <w:marBottom w:val="0"/>
                              <w:divBdr>
                                <w:top w:val="none" w:sz="0" w:space="0" w:color="auto"/>
                                <w:left w:val="none" w:sz="0" w:space="0" w:color="auto"/>
                                <w:bottom w:val="none" w:sz="0" w:space="0" w:color="auto"/>
                                <w:right w:val="none" w:sz="0" w:space="0" w:color="auto"/>
                              </w:divBdr>
                              <w:divsChild>
                                <w:div w:id="826942963">
                                  <w:marLeft w:val="0"/>
                                  <w:marRight w:val="0"/>
                                  <w:marTop w:val="0"/>
                                  <w:marBottom w:val="0"/>
                                  <w:divBdr>
                                    <w:top w:val="none" w:sz="0" w:space="0" w:color="auto"/>
                                    <w:left w:val="none" w:sz="0" w:space="0" w:color="auto"/>
                                    <w:bottom w:val="none" w:sz="0" w:space="0" w:color="auto"/>
                                    <w:right w:val="none" w:sz="0" w:space="0" w:color="auto"/>
                                  </w:divBdr>
                                  <w:divsChild>
                                    <w:div w:id="733818261">
                                      <w:marLeft w:val="0"/>
                                      <w:marRight w:val="0"/>
                                      <w:marTop w:val="0"/>
                                      <w:marBottom w:val="0"/>
                                      <w:divBdr>
                                        <w:top w:val="none" w:sz="0" w:space="0" w:color="auto"/>
                                        <w:left w:val="none" w:sz="0" w:space="0" w:color="auto"/>
                                        <w:bottom w:val="none" w:sz="0" w:space="0" w:color="auto"/>
                                        <w:right w:val="none" w:sz="0" w:space="0" w:color="auto"/>
                                      </w:divBdr>
                                      <w:divsChild>
                                        <w:div w:id="19578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8330">
          <w:marLeft w:val="0"/>
          <w:marRight w:val="0"/>
          <w:marTop w:val="0"/>
          <w:marBottom w:val="0"/>
          <w:divBdr>
            <w:top w:val="none" w:sz="0" w:space="0" w:color="auto"/>
            <w:left w:val="none" w:sz="0" w:space="0" w:color="auto"/>
            <w:bottom w:val="none" w:sz="0" w:space="0" w:color="auto"/>
            <w:right w:val="none" w:sz="0" w:space="0" w:color="auto"/>
          </w:divBdr>
          <w:divsChild>
            <w:div w:id="1237931891">
              <w:marLeft w:val="0"/>
              <w:marRight w:val="0"/>
              <w:marTop w:val="0"/>
              <w:marBottom w:val="0"/>
              <w:divBdr>
                <w:top w:val="none" w:sz="0" w:space="0" w:color="auto"/>
                <w:left w:val="none" w:sz="0" w:space="0" w:color="auto"/>
                <w:bottom w:val="none" w:sz="0" w:space="0" w:color="auto"/>
                <w:right w:val="none" w:sz="0" w:space="0" w:color="auto"/>
              </w:divBdr>
              <w:divsChild>
                <w:div w:id="195657028">
                  <w:marLeft w:val="0"/>
                  <w:marRight w:val="0"/>
                  <w:marTop w:val="0"/>
                  <w:marBottom w:val="0"/>
                  <w:divBdr>
                    <w:top w:val="none" w:sz="0" w:space="0" w:color="auto"/>
                    <w:left w:val="none" w:sz="0" w:space="0" w:color="auto"/>
                    <w:bottom w:val="none" w:sz="0" w:space="0" w:color="auto"/>
                    <w:right w:val="none" w:sz="0" w:space="0" w:color="auto"/>
                  </w:divBdr>
                  <w:divsChild>
                    <w:div w:id="144510533">
                      <w:marLeft w:val="0"/>
                      <w:marRight w:val="0"/>
                      <w:marTop w:val="0"/>
                      <w:marBottom w:val="0"/>
                      <w:divBdr>
                        <w:top w:val="none" w:sz="0" w:space="0" w:color="auto"/>
                        <w:left w:val="none" w:sz="0" w:space="0" w:color="auto"/>
                        <w:bottom w:val="none" w:sz="0" w:space="0" w:color="auto"/>
                        <w:right w:val="none" w:sz="0" w:space="0" w:color="auto"/>
                      </w:divBdr>
                      <w:divsChild>
                        <w:div w:id="611282588">
                          <w:marLeft w:val="0"/>
                          <w:marRight w:val="0"/>
                          <w:marTop w:val="0"/>
                          <w:marBottom w:val="0"/>
                          <w:divBdr>
                            <w:top w:val="none" w:sz="0" w:space="0" w:color="auto"/>
                            <w:left w:val="none" w:sz="0" w:space="0" w:color="auto"/>
                            <w:bottom w:val="none" w:sz="0" w:space="0" w:color="auto"/>
                            <w:right w:val="none" w:sz="0" w:space="0" w:color="auto"/>
                          </w:divBdr>
                          <w:divsChild>
                            <w:div w:id="1046027567">
                              <w:marLeft w:val="0"/>
                              <w:marRight w:val="0"/>
                              <w:marTop w:val="0"/>
                              <w:marBottom w:val="0"/>
                              <w:divBdr>
                                <w:top w:val="none" w:sz="0" w:space="0" w:color="auto"/>
                                <w:left w:val="none" w:sz="0" w:space="0" w:color="auto"/>
                                <w:bottom w:val="none" w:sz="0" w:space="0" w:color="auto"/>
                                <w:right w:val="none" w:sz="0" w:space="0" w:color="auto"/>
                              </w:divBdr>
                              <w:divsChild>
                                <w:div w:id="2140027159">
                                  <w:marLeft w:val="1187"/>
                                  <w:marRight w:val="0"/>
                                  <w:marTop w:val="0"/>
                                  <w:marBottom w:val="0"/>
                                  <w:divBdr>
                                    <w:top w:val="none" w:sz="0" w:space="0" w:color="auto"/>
                                    <w:left w:val="none" w:sz="0" w:space="0" w:color="auto"/>
                                    <w:bottom w:val="none" w:sz="0" w:space="0" w:color="auto"/>
                                    <w:right w:val="none" w:sz="0" w:space="0" w:color="auto"/>
                                  </w:divBdr>
                                  <w:divsChild>
                                    <w:div w:id="3569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266313">
              <w:marLeft w:val="0"/>
              <w:marRight w:val="0"/>
              <w:marTop w:val="0"/>
              <w:marBottom w:val="0"/>
              <w:divBdr>
                <w:top w:val="none" w:sz="0" w:space="0" w:color="auto"/>
                <w:left w:val="none" w:sz="0" w:space="0" w:color="auto"/>
                <w:bottom w:val="none" w:sz="0" w:space="0" w:color="auto"/>
                <w:right w:val="none" w:sz="0" w:space="0" w:color="auto"/>
              </w:divBdr>
              <w:divsChild>
                <w:div w:id="530187280">
                  <w:marLeft w:val="0"/>
                  <w:marRight w:val="0"/>
                  <w:marTop w:val="0"/>
                  <w:marBottom w:val="0"/>
                  <w:divBdr>
                    <w:top w:val="none" w:sz="0" w:space="0" w:color="auto"/>
                    <w:left w:val="none" w:sz="0" w:space="0" w:color="auto"/>
                    <w:bottom w:val="none" w:sz="0" w:space="0" w:color="auto"/>
                    <w:right w:val="none" w:sz="0" w:space="0" w:color="auto"/>
                  </w:divBdr>
                  <w:divsChild>
                    <w:div w:id="704406369">
                      <w:marLeft w:val="0"/>
                      <w:marRight w:val="0"/>
                      <w:marTop w:val="0"/>
                      <w:marBottom w:val="0"/>
                      <w:divBdr>
                        <w:top w:val="none" w:sz="0" w:space="0" w:color="auto"/>
                        <w:left w:val="none" w:sz="0" w:space="0" w:color="auto"/>
                        <w:bottom w:val="none" w:sz="0" w:space="0" w:color="auto"/>
                        <w:right w:val="none" w:sz="0" w:space="0" w:color="auto"/>
                      </w:divBdr>
                      <w:divsChild>
                        <w:div w:id="1321690987">
                          <w:marLeft w:val="0"/>
                          <w:marRight w:val="0"/>
                          <w:marTop w:val="0"/>
                          <w:marBottom w:val="0"/>
                          <w:divBdr>
                            <w:top w:val="none" w:sz="0" w:space="0" w:color="auto"/>
                            <w:left w:val="none" w:sz="0" w:space="0" w:color="auto"/>
                            <w:bottom w:val="none" w:sz="0" w:space="0" w:color="auto"/>
                            <w:right w:val="none" w:sz="0" w:space="0" w:color="auto"/>
                          </w:divBdr>
                          <w:divsChild>
                            <w:div w:id="392000042">
                              <w:marLeft w:val="0"/>
                              <w:marRight w:val="0"/>
                              <w:marTop w:val="0"/>
                              <w:marBottom w:val="0"/>
                              <w:divBdr>
                                <w:top w:val="none" w:sz="0" w:space="0" w:color="auto"/>
                                <w:left w:val="none" w:sz="0" w:space="0" w:color="auto"/>
                                <w:bottom w:val="none" w:sz="0" w:space="0" w:color="auto"/>
                                <w:right w:val="none" w:sz="0" w:space="0" w:color="auto"/>
                              </w:divBdr>
                              <w:divsChild>
                                <w:div w:id="969819563">
                                  <w:marLeft w:val="0"/>
                                  <w:marRight w:val="0"/>
                                  <w:marTop w:val="0"/>
                                  <w:marBottom w:val="0"/>
                                  <w:divBdr>
                                    <w:top w:val="none" w:sz="0" w:space="0" w:color="auto"/>
                                    <w:left w:val="none" w:sz="0" w:space="0" w:color="auto"/>
                                    <w:bottom w:val="none" w:sz="0" w:space="0" w:color="auto"/>
                                    <w:right w:val="none" w:sz="0" w:space="0" w:color="auto"/>
                                  </w:divBdr>
                                  <w:divsChild>
                                    <w:div w:id="51126836">
                                      <w:marLeft w:val="0"/>
                                      <w:marRight w:val="0"/>
                                      <w:marTop w:val="0"/>
                                      <w:marBottom w:val="0"/>
                                      <w:divBdr>
                                        <w:top w:val="none" w:sz="0" w:space="0" w:color="auto"/>
                                        <w:left w:val="none" w:sz="0" w:space="0" w:color="auto"/>
                                        <w:bottom w:val="none" w:sz="0" w:space="0" w:color="auto"/>
                                        <w:right w:val="none" w:sz="0" w:space="0" w:color="auto"/>
                                      </w:divBdr>
                                      <w:divsChild>
                                        <w:div w:id="18312663">
                                          <w:marLeft w:val="0"/>
                                          <w:marRight w:val="0"/>
                                          <w:marTop w:val="0"/>
                                          <w:marBottom w:val="0"/>
                                          <w:divBdr>
                                            <w:top w:val="none" w:sz="0" w:space="0" w:color="auto"/>
                                            <w:left w:val="none" w:sz="0" w:space="0" w:color="auto"/>
                                            <w:bottom w:val="none" w:sz="0" w:space="0" w:color="auto"/>
                                            <w:right w:val="none" w:sz="0" w:space="0" w:color="auto"/>
                                          </w:divBdr>
                                          <w:divsChild>
                                            <w:div w:id="1691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96928">
                                  <w:marLeft w:val="0"/>
                                  <w:marRight w:val="0"/>
                                  <w:marTop w:val="0"/>
                                  <w:marBottom w:val="0"/>
                                  <w:divBdr>
                                    <w:top w:val="none" w:sz="0" w:space="0" w:color="auto"/>
                                    <w:left w:val="none" w:sz="0" w:space="0" w:color="auto"/>
                                    <w:bottom w:val="none" w:sz="0" w:space="0" w:color="auto"/>
                                    <w:right w:val="none" w:sz="0" w:space="0" w:color="auto"/>
                                  </w:divBdr>
                                  <w:divsChild>
                                    <w:div w:id="1371144837">
                                      <w:marLeft w:val="0"/>
                                      <w:marRight w:val="0"/>
                                      <w:marTop w:val="0"/>
                                      <w:marBottom w:val="0"/>
                                      <w:divBdr>
                                        <w:top w:val="none" w:sz="0" w:space="0" w:color="auto"/>
                                        <w:left w:val="none" w:sz="0" w:space="0" w:color="auto"/>
                                        <w:bottom w:val="none" w:sz="0" w:space="0" w:color="auto"/>
                                        <w:right w:val="none" w:sz="0" w:space="0" w:color="auto"/>
                                      </w:divBdr>
                                      <w:divsChild>
                                        <w:div w:id="11758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52283">
              <w:marLeft w:val="0"/>
              <w:marRight w:val="0"/>
              <w:marTop w:val="0"/>
              <w:marBottom w:val="0"/>
              <w:divBdr>
                <w:top w:val="none" w:sz="0" w:space="0" w:color="auto"/>
                <w:left w:val="none" w:sz="0" w:space="0" w:color="auto"/>
                <w:bottom w:val="none" w:sz="0" w:space="0" w:color="auto"/>
                <w:right w:val="none" w:sz="0" w:space="0" w:color="auto"/>
              </w:divBdr>
              <w:divsChild>
                <w:div w:id="694575628">
                  <w:marLeft w:val="0"/>
                  <w:marRight w:val="0"/>
                  <w:marTop w:val="0"/>
                  <w:marBottom w:val="0"/>
                  <w:divBdr>
                    <w:top w:val="none" w:sz="0" w:space="0" w:color="auto"/>
                    <w:left w:val="none" w:sz="0" w:space="0" w:color="auto"/>
                    <w:bottom w:val="none" w:sz="0" w:space="0" w:color="auto"/>
                    <w:right w:val="none" w:sz="0" w:space="0" w:color="auto"/>
                  </w:divBdr>
                  <w:divsChild>
                    <w:div w:id="1137335864">
                      <w:marLeft w:val="0"/>
                      <w:marRight w:val="0"/>
                      <w:marTop w:val="0"/>
                      <w:marBottom w:val="0"/>
                      <w:divBdr>
                        <w:top w:val="none" w:sz="0" w:space="0" w:color="auto"/>
                        <w:left w:val="none" w:sz="0" w:space="0" w:color="auto"/>
                        <w:bottom w:val="none" w:sz="0" w:space="0" w:color="auto"/>
                        <w:right w:val="none" w:sz="0" w:space="0" w:color="auto"/>
                      </w:divBdr>
                      <w:divsChild>
                        <w:div w:id="518540999">
                          <w:marLeft w:val="0"/>
                          <w:marRight w:val="0"/>
                          <w:marTop w:val="0"/>
                          <w:marBottom w:val="0"/>
                          <w:divBdr>
                            <w:top w:val="none" w:sz="0" w:space="0" w:color="auto"/>
                            <w:left w:val="none" w:sz="0" w:space="0" w:color="auto"/>
                            <w:bottom w:val="none" w:sz="0" w:space="0" w:color="auto"/>
                            <w:right w:val="none" w:sz="0" w:space="0" w:color="auto"/>
                          </w:divBdr>
                          <w:divsChild>
                            <w:div w:id="2141728859">
                              <w:marLeft w:val="0"/>
                              <w:marRight w:val="0"/>
                              <w:marTop w:val="0"/>
                              <w:marBottom w:val="0"/>
                              <w:divBdr>
                                <w:top w:val="none" w:sz="0" w:space="0" w:color="auto"/>
                                <w:left w:val="none" w:sz="0" w:space="0" w:color="auto"/>
                                <w:bottom w:val="none" w:sz="0" w:space="0" w:color="auto"/>
                                <w:right w:val="none" w:sz="0" w:space="0" w:color="auto"/>
                              </w:divBdr>
                              <w:divsChild>
                                <w:div w:id="1224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54662">
              <w:marLeft w:val="0"/>
              <w:marRight w:val="0"/>
              <w:marTop w:val="0"/>
              <w:marBottom w:val="0"/>
              <w:divBdr>
                <w:top w:val="none" w:sz="0" w:space="0" w:color="auto"/>
                <w:left w:val="none" w:sz="0" w:space="0" w:color="auto"/>
                <w:bottom w:val="none" w:sz="0" w:space="0" w:color="auto"/>
                <w:right w:val="none" w:sz="0" w:space="0" w:color="auto"/>
              </w:divBdr>
              <w:divsChild>
                <w:div w:id="808668018">
                  <w:marLeft w:val="0"/>
                  <w:marRight w:val="0"/>
                  <w:marTop w:val="0"/>
                  <w:marBottom w:val="0"/>
                  <w:divBdr>
                    <w:top w:val="none" w:sz="0" w:space="0" w:color="auto"/>
                    <w:left w:val="none" w:sz="0" w:space="0" w:color="auto"/>
                    <w:bottom w:val="none" w:sz="0" w:space="0" w:color="auto"/>
                    <w:right w:val="none" w:sz="0" w:space="0" w:color="auto"/>
                  </w:divBdr>
                  <w:divsChild>
                    <w:div w:id="393238505">
                      <w:marLeft w:val="0"/>
                      <w:marRight w:val="0"/>
                      <w:marTop w:val="0"/>
                      <w:marBottom w:val="0"/>
                      <w:divBdr>
                        <w:top w:val="none" w:sz="0" w:space="0" w:color="auto"/>
                        <w:left w:val="none" w:sz="0" w:space="0" w:color="auto"/>
                        <w:bottom w:val="none" w:sz="0" w:space="0" w:color="auto"/>
                        <w:right w:val="none" w:sz="0" w:space="0" w:color="auto"/>
                      </w:divBdr>
                      <w:divsChild>
                        <w:div w:id="1044863960">
                          <w:marLeft w:val="0"/>
                          <w:marRight w:val="0"/>
                          <w:marTop w:val="0"/>
                          <w:marBottom w:val="0"/>
                          <w:divBdr>
                            <w:top w:val="none" w:sz="0" w:space="0" w:color="auto"/>
                            <w:left w:val="none" w:sz="0" w:space="0" w:color="auto"/>
                            <w:bottom w:val="none" w:sz="0" w:space="0" w:color="auto"/>
                            <w:right w:val="none" w:sz="0" w:space="0" w:color="auto"/>
                          </w:divBdr>
                          <w:divsChild>
                            <w:div w:id="1723285186">
                              <w:marLeft w:val="0"/>
                              <w:marRight w:val="0"/>
                              <w:marTop w:val="0"/>
                              <w:marBottom w:val="0"/>
                              <w:divBdr>
                                <w:top w:val="none" w:sz="0" w:space="0" w:color="auto"/>
                                <w:left w:val="none" w:sz="0" w:space="0" w:color="auto"/>
                                <w:bottom w:val="none" w:sz="0" w:space="0" w:color="auto"/>
                                <w:right w:val="none" w:sz="0" w:space="0" w:color="auto"/>
                              </w:divBdr>
                              <w:divsChild>
                                <w:div w:id="918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705912">
              <w:marLeft w:val="0"/>
              <w:marRight w:val="0"/>
              <w:marTop w:val="0"/>
              <w:marBottom w:val="0"/>
              <w:divBdr>
                <w:top w:val="none" w:sz="0" w:space="0" w:color="auto"/>
                <w:left w:val="none" w:sz="0" w:space="0" w:color="auto"/>
                <w:bottom w:val="none" w:sz="0" w:space="0" w:color="auto"/>
                <w:right w:val="none" w:sz="0" w:space="0" w:color="auto"/>
              </w:divBdr>
              <w:divsChild>
                <w:div w:id="1414477105">
                  <w:marLeft w:val="0"/>
                  <w:marRight w:val="0"/>
                  <w:marTop w:val="0"/>
                  <w:marBottom w:val="0"/>
                  <w:divBdr>
                    <w:top w:val="none" w:sz="0" w:space="0" w:color="auto"/>
                    <w:left w:val="none" w:sz="0" w:space="0" w:color="auto"/>
                    <w:bottom w:val="none" w:sz="0" w:space="0" w:color="auto"/>
                    <w:right w:val="none" w:sz="0" w:space="0" w:color="auto"/>
                  </w:divBdr>
                  <w:divsChild>
                    <w:div w:id="943264201">
                      <w:marLeft w:val="0"/>
                      <w:marRight w:val="0"/>
                      <w:marTop w:val="0"/>
                      <w:marBottom w:val="0"/>
                      <w:divBdr>
                        <w:top w:val="none" w:sz="0" w:space="0" w:color="auto"/>
                        <w:left w:val="none" w:sz="0" w:space="0" w:color="auto"/>
                        <w:bottom w:val="none" w:sz="0" w:space="0" w:color="auto"/>
                        <w:right w:val="none" w:sz="0" w:space="0" w:color="auto"/>
                      </w:divBdr>
                      <w:divsChild>
                        <w:div w:id="1041512410">
                          <w:marLeft w:val="0"/>
                          <w:marRight w:val="0"/>
                          <w:marTop w:val="0"/>
                          <w:marBottom w:val="0"/>
                          <w:divBdr>
                            <w:top w:val="none" w:sz="0" w:space="0" w:color="auto"/>
                            <w:left w:val="none" w:sz="0" w:space="0" w:color="auto"/>
                            <w:bottom w:val="none" w:sz="0" w:space="0" w:color="auto"/>
                            <w:right w:val="none" w:sz="0" w:space="0" w:color="auto"/>
                          </w:divBdr>
                          <w:divsChild>
                            <w:div w:id="618609009">
                              <w:marLeft w:val="0"/>
                              <w:marRight w:val="0"/>
                              <w:marTop w:val="0"/>
                              <w:marBottom w:val="0"/>
                              <w:divBdr>
                                <w:top w:val="none" w:sz="0" w:space="0" w:color="auto"/>
                                <w:left w:val="none" w:sz="0" w:space="0" w:color="auto"/>
                                <w:bottom w:val="none" w:sz="0" w:space="0" w:color="auto"/>
                                <w:right w:val="none" w:sz="0" w:space="0" w:color="auto"/>
                              </w:divBdr>
                              <w:divsChild>
                                <w:div w:id="11668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37228">
      <w:bodyDiv w:val="1"/>
      <w:marLeft w:val="0"/>
      <w:marRight w:val="0"/>
      <w:marTop w:val="0"/>
      <w:marBottom w:val="0"/>
      <w:divBdr>
        <w:top w:val="none" w:sz="0" w:space="0" w:color="auto"/>
        <w:left w:val="none" w:sz="0" w:space="0" w:color="auto"/>
        <w:bottom w:val="none" w:sz="0" w:space="0" w:color="auto"/>
        <w:right w:val="none" w:sz="0" w:space="0" w:color="auto"/>
      </w:divBdr>
    </w:div>
    <w:div w:id="311833294">
      <w:bodyDiv w:val="1"/>
      <w:marLeft w:val="0"/>
      <w:marRight w:val="0"/>
      <w:marTop w:val="0"/>
      <w:marBottom w:val="0"/>
      <w:divBdr>
        <w:top w:val="none" w:sz="0" w:space="0" w:color="auto"/>
        <w:left w:val="none" w:sz="0" w:space="0" w:color="auto"/>
        <w:bottom w:val="none" w:sz="0" w:space="0" w:color="auto"/>
        <w:right w:val="none" w:sz="0" w:space="0" w:color="auto"/>
      </w:divBdr>
      <w:divsChild>
        <w:div w:id="922109480">
          <w:marLeft w:val="0"/>
          <w:marRight w:val="0"/>
          <w:marTop w:val="0"/>
          <w:marBottom w:val="0"/>
          <w:divBdr>
            <w:top w:val="none" w:sz="0" w:space="0" w:color="auto"/>
            <w:left w:val="none" w:sz="0" w:space="0" w:color="auto"/>
            <w:bottom w:val="none" w:sz="0" w:space="0" w:color="auto"/>
            <w:right w:val="none" w:sz="0" w:space="0" w:color="auto"/>
          </w:divBdr>
          <w:divsChild>
            <w:div w:id="1744330330">
              <w:marLeft w:val="0"/>
              <w:marRight w:val="0"/>
              <w:marTop w:val="0"/>
              <w:marBottom w:val="0"/>
              <w:divBdr>
                <w:top w:val="none" w:sz="0" w:space="0" w:color="auto"/>
                <w:left w:val="none" w:sz="0" w:space="0" w:color="auto"/>
                <w:bottom w:val="none" w:sz="0" w:space="0" w:color="auto"/>
                <w:right w:val="none" w:sz="0" w:space="0" w:color="auto"/>
              </w:divBdr>
              <w:divsChild>
                <w:div w:id="1551722859">
                  <w:marLeft w:val="0"/>
                  <w:marRight w:val="0"/>
                  <w:marTop w:val="0"/>
                  <w:marBottom w:val="0"/>
                  <w:divBdr>
                    <w:top w:val="none" w:sz="0" w:space="0" w:color="auto"/>
                    <w:left w:val="none" w:sz="0" w:space="0" w:color="auto"/>
                    <w:bottom w:val="none" w:sz="0" w:space="0" w:color="auto"/>
                    <w:right w:val="none" w:sz="0" w:space="0" w:color="auto"/>
                  </w:divBdr>
                  <w:divsChild>
                    <w:div w:id="473760183">
                      <w:marLeft w:val="0"/>
                      <w:marRight w:val="0"/>
                      <w:marTop w:val="0"/>
                      <w:marBottom w:val="0"/>
                      <w:divBdr>
                        <w:top w:val="none" w:sz="0" w:space="0" w:color="auto"/>
                        <w:left w:val="none" w:sz="0" w:space="0" w:color="auto"/>
                        <w:bottom w:val="none" w:sz="0" w:space="0" w:color="auto"/>
                        <w:right w:val="none" w:sz="0" w:space="0" w:color="auto"/>
                      </w:divBdr>
                      <w:divsChild>
                        <w:div w:id="72780690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1187"/>
                              <w:marRight w:val="0"/>
                              <w:marTop w:val="0"/>
                              <w:marBottom w:val="0"/>
                              <w:divBdr>
                                <w:top w:val="none" w:sz="0" w:space="0" w:color="auto"/>
                                <w:left w:val="none" w:sz="0" w:space="0" w:color="auto"/>
                                <w:bottom w:val="none" w:sz="0" w:space="0" w:color="auto"/>
                                <w:right w:val="none" w:sz="0" w:space="0" w:color="auto"/>
                              </w:divBdr>
                              <w:divsChild>
                                <w:div w:id="161748476">
                                  <w:marLeft w:val="0"/>
                                  <w:marRight w:val="0"/>
                                  <w:marTop w:val="0"/>
                                  <w:marBottom w:val="0"/>
                                  <w:divBdr>
                                    <w:top w:val="none" w:sz="0" w:space="0" w:color="auto"/>
                                    <w:left w:val="none" w:sz="0" w:space="0" w:color="auto"/>
                                    <w:bottom w:val="none" w:sz="0" w:space="0" w:color="auto"/>
                                    <w:right w:val="none" w:sz="0" w:space="0" w:color="auto"/>
                                  </w:divBdr>
                                  <w:divsChild>
                                    <w:div w:id="204651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8896">
          <w:marLeft w:val="0"/>
          <w:marRight w:val="0"/>
          <w:marTop w:val="0"/>
          <w:marBottom w:val="0"/>
          <w:divBdr>
            <w:top w:val="none" w:sz="0" w:space="0" w:color="auto"/>
            <w:left w:val="none" w:sz="0" w:space="0" w:color="auto"/>
            <w:bottom w:val="none" w:sz="0" w:space="0" w:color="auto"/>
            <w:right w:val="none" w:sz="0" w:space="0" w:color="auto"/>
          </w:divBdr>
          <w:divsChild>
            <w:div w:id="675886081">
              <w:marLeft w:val="0"/>
              <w:marRight w:val="0"/>
              <w:marTop w:val="0"/>
              <w:marBottom w:val="0"/>
              <w:divBdr>
                <w:top w:val="none" w:sz="0" w:space="0" w:color="auto"/>
                <w:left w:val="none" w:sz="0" w:space="0" w:color="auto"/>
                <w:bottom w:val="none" w:sz="0" w:space="0" w:color="auto"/>
                <w:right w:val="none" w:sz="0" w:space="0" w:color="auto"/>
              </w:divBdr>
              <w:divsChild>
                <w:div w:id="1891532253">
                  <w:marLeft w:val="0"/>
                  <w:marRight w:val="0"/>
                  <w:marTop w:val="0"/>
                  <w:marBottom w:val="0"/>
                  <w:divBdr>
                    <w:top w:val="none" w:sz="0" w:space="0" w:color="auto"/>
                    <w:left w:val="none" w:sz="0" w:space="0" w:color="auto"/>
                    <w:bottom w:val="none" w:sz="0" w:space="0" w:color="auto"/>
                    <w:right w:val="none" w:sz="0" w:space="0" w:color="auto"/>
                  </w:divBdr>
                  <w:divsChild>
                    <w:div w:id="852693253">
                      <w:marLeft w:val="0"/>
                      <w:marRight w:val="0"/>
                      <w:marTop w:val="0"/>
                      <w:marBottom w:val="0"/>
                      <w:divBdr>
                        <w:top w:val="none" w:sz="0" w:space="0" w:color="auto"/>
                        <w:left w:val="none" w:sz="0" w:space="0" w:color="auto"/>
                        <w:bottom w:val="none" w:sz="0" w:space="0" w:color="auto"/>
                        <w:right w:val="none" w:sz="0" w:space="0" w:color="auto"/>
                      </w:divBdr>
                      <w:divsChild>
                        <w:div w:id="99180158">
                          <w:marLeft w:val="0"/>
                          <w:marRight w:val="0"/>
                          <w:marTop w:val="0"/>
                          <w:marBottom w:val="0"/>
                          <w:divBdr>
                            <w:top w:val="none" w:sz="0" w:space="0" w:color="auto"/>
                            <w:left w:val="none" w:sz="0" w:space="0" w:color="auto"/>
                            <w:bottom w:val="none" w:sz="0" w:space="0" w:color="auto"/>
                            <w:right w:val="none" w:sz="0" w:space="0" w:color="auto"/>
                          </w:divBdr>
                          <w:divsChild>
                            <w:div w:id="1269653901">
                              <w:marLeft w:val="0"/>
                              <w:marRight w:val="0"/>
                              <w:marTop w:val="0"/>
                              <w:marBottom w:val="0"/>
                              <w:divBdr>
                                <w:top w:val="none" w:sz="0" w:space="0" w:color="auto"/>
                                <w:left w:val="none" w:sz="0" w:space="0" w:color="auto"/>
                                <w:bottom w:val="none" w:sz="0" w:space="0" w:color="auto"/>
                                <w:right w:val="none" w:sz="0" w:space="0" w:color="auto"/>
                              </w:divBdr>
                              <w:divsChild>
                                <w:div w:id="1772359376">
                                  <w:marLeft w:val="0"/>
                                  <w:marRight w:val="0"/>
                                  <w:marTop w:val="0"/>
                                  <w:marBottom w:val="0"/>
                                  <w:divBdr>
                                    <w:top w:val="none" w:sz="0" w:space="0" w:color="auto"/>
                                    <w:left w:val="none" w:sz="0" w:space="0" w:color="auto"/>
                                    <w:bottom w:val="none" w:sz="0" w:space="0" w:color="auto"/>
                                    <w:right w:val="none" w:sz="0" w:space="0" w:color="auto"/>
                                  </w:divBdr>
                                  <w:divsChild>
                                    <w:div w:id="1522426913">
                                      <w:marLeft w:val="0"/>
                                      <w:marRight w:val="0"/>
                                      <w:marTop w:val="0"/>
                                      <w:marBottom w:val="0"/>
                                      <w:divBdr>
                                        <w:top w:val="none" w:sz="0" w:space="0" w:color="auto"/>
                                        <w:left w:val="none" w:sz="0" w:space="0" w:color="auto"/>
                                        <w:bottom w:val="none" w:sz="0" w:space="0" w:color="auto"/>
                                        <w:right w:val="none" w:sz="0" w:space="0" w:color="auto"/>
                                      </w:divBdr>
                                      <w:divsChild>
                                        <w:div w:id="21259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390512">
          <w:marLeft w:val="0"/>
          <w:marRight w:val="0"/>
          <w:marTop w:val="0"/>
          <w:marBottom w:val="0"/>
          <w:divBdr>
            <w:top w:val="none" w:sz="0" w:space="0" w:color="auto"/>
            <w:left w:val="none" w:sz="0" w:space="0" w:color="auto"/>
            <w:bottom w:val="none" w:sz="0" w:space="0" w:color="auto"/>
            <w:right w:val="none" w:sz="0" w:space="0" w:color="auto"/>
          </w:divBdr>
          <w:divsChild>
            <w:div w:id="681056544">
              <w:marLeft w:val="0"/>
              <w:marRight w:val="0"/>
              <w:marTop w:val="0"/>
              <w:marBottom w:val="0"/>
              <w:divBdr>
                <w:top w:val="none" w:sz="0" w:space="0" w:color="auto"/>
                <w:left w:val="none" w:sz="0" w:space="0" w:color="auto"/>
                <w:bottom w:val="none" w:sz="0" w:space="0" w:color="auto"/>
                <w:right w:val="none" w:sz="0" w:space="0" w:color="auto"/>
              </w:divBdr>
              <w:divsChild>
                <w:div w:id="219900109">
                  <w:marLeft w:val="0"/>
                  <w:marRight w:val="0"/>
                  <w:marTop w:val="0"/>
                  <w:marBottom w:val="0"/>
                  <w:divBdr>
                    <w:top w:val="none" w:sz="0" w:space="0" w:color="auto"/>
                    <w:left w:val="none" w:sz="0" w:space="0" w:color="auto"/>
                    <w:bottom w:val="none" w:sz="0" w:space="0" w:color="auto"/>
                    <w:right w:val="none" w:sz="0" w:space="0" w:color="auto"/>
                  </w:divBdr>
                  <w:divsChild>
                    <w:div w:id="1474130832">
                      <w:marLeft w:val="0"/>
                      <w:marRight w:val="0"/>
                      <w:marTop w:val="0"/>
                      <w:marBottom w:val="0"/>
                      <w:divBdr>
                        <w:top w:val="none" w:sz="0" w:space="0" w:color="auto"/>
                        <w:left w:val="none" w:sz="0" w:space="0" w:color="auto"/>
                        <w:bottom w:val="none" w:sz="0" w:space="0" w:color="auto"/>
                        <w:right w:val="none" w:sz="0" w:space="0" w:color="auto"/>
                      </w:divBdr>
                      <w:divsChild>
                        <w:div w:id="1304193297">
                          <w:marLeft w:val="0"/>
                          <w:marRight w:val="0"/>
                          <w:marTop w:val="0"/>
                          <w:marBottom w:val="0"/>
                          <w:divBdr>
                            <w:top w:val="none" w:sz="0" w:space="0" w:color="auto"/>
                            <w:left w:val="none" w:sz="0" w:space="0" w:color="auto"/>
                            <w:bottom w:val="none" w:sz="0" w:space="0" w:color="auto"/>
                            <w:right w:val="none" w:sz="0" w:space="0" w:color="auto"/>
                          </w:divBdr>
                          <w:divsChild>
                            <w:div w:id="1452936261">
                              <w:marLeft w:val="1187"/>
                              <w:marRight w:val="0"/>
                              <w:marTop w:val="0"/>
                              <w:marBottom w:val="0"/>
                              <w:divBdr>
                                <w:top w:val="none" w:sz="0" w:space="0" w:color="auto"/>
                                <w:left w:val="none" w:sz="0" w:space="0" w:color="auto"/>
                                <w:bottom w:val="none" w:sz="0" w:space="0" w:color="auto"/>
                                <w:right w:val="none" w:sz="0" w:space="0" w:color="auto"/>
                              </w:divBdr>
                              <w:divsChild>
                                <w:div w:id="938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938204">
          <w:marLeft w:val="0"/>
          <w:marRight w:val="0"/>
          <w:marTop w:val="0"/>
          <w:marBottom w:val="0"/>
          <w:divBdr>
            <w:top w:val="none" w:sz="0" w:space="0" w:color="auto"/>
            <w:left w:val="none" w:sz="0" w:space="0" w:color="auto"/>
            <w:bottom w:val="none" w:sz="0" w:space="0" w:color="auto"/>
            <w:right w:val="none" w:sz="0" w:space="0" w:color="auto"/>
          </w:divBdr>
          <w:divsChild>
            <w:div w:id="1591349913">
              <w:marLeft w:val="0"/>
              <w:marRight w:val="0"/>
              <w:marTop w:val="0"/>
              <w:marBottom w:val="0"/>
              <w:divBdr>
                <w:top w:val="none" w:sz="0" w:space="0" w:color="auto"/>
                <w:left w:val="none" w:sz="0" w:space="0" w:color="auto"/>
                <w:bottom w:val="none" w:sz="0" w:space="0" w:color="auto"/>
                <w:right w:val="none" w:sz="0" w:space="0" w:color="auto"/>
              </w:divBdr>
              <w:divsChild>
                <w:div w:id="2142458595">
                  <w:marLeft w:val="0"/>
                  <w:marRight w:val="0"/>
                  <w:marTop w:val="0"/>
                  <w:marBottom w:val="0"/>
                  <w:divBdr>
                    <w:top w:val="none" w:sz="0" w:space="0" w:color="auto"/>
                    <w:left w:val="none" w:sz="0" w:space="0" w:color="auto"/>
                    <w:bottom w:val="none" w:sz="0" w:space="0" w:color="auto"/>
                    <w:right w:val="none" w:sz="0" w:space="0" w:color="auto"/>
                  </w:divBdr>
                  <w:divsChild>
                    <w:div w:id="128402160">
                      <w:marLeft w:val="0"/>
                      <w:marRight w:val="0"/>
                      <w:marTop w:val="0"/>
                      <w:marBottom w:val="0"/>
                      <w:divBdr>
                        <w:top w:val="none" w:sz="0" w:space="0" w:color="auto"/>
                        <w:left w:val="none" w:sz="0" w:space="0" w:color="auto"/>
                        <w:bottom w:val="none" w:sz="0" w:space="0" w:color="auto"/>
                        <w:right w:val="none" w:sz="0" w:space="0" w:color="auto"/>
                      </w:divBdr>
                      <w:divsChild>
                        <w:div w:id="1722288632">
                          <w:marLeft w:val="0"/>
                          <w:marRight w:val="0"/>
                          <w:marTop w:val="0"/>
                          <w:marBottom w:val="0"/>
                          <w:divBdr>
                            <w:top w:val="none" w:sz="0" w:space="0" w:color="auto"/>
                            <w:left w:val="none" w:sz="0" w:space="0" w:color="auto"/>
                            <w:bottom w:val="none" w:sz="0" w:space="0" w:color="auto"/>
                            <w:right w:val="none" w:sz="0" w:space="0" w:color="auto"/>
                          </w:divBdr>
                          <w:divsChild>
                            <w:div w:id="221867408">
                              <w:marLeft w:val="0"/>
                              <w:marRight w:val="0"/>
                              <w:marTop w:val="0"/>
                              <w:marBottom w:val="0"/>
                              <w:divBdr>
                                <w:top w:val="none" w:sz="0" w:space="0" w:color="auto"/>
                                <w:left w:val="none" w:sz="0" w:space="0" w:color="auto"/>
                                <w:bottom w:val="none" w:sz="0" w:space="0" w:color="auto"/>
                                <w:right w:val="none" w:sz="0" w:space="0" w:color="auto"/>
                              </w:divBdr>
                              <w:divsChild>
                                <w:div w:id="412433439">
                                  <w:marLeft w:val="0"/>
                                  <w:marRight w:val="0"/>
                                  <w:marTop w:val="0"/>
                                  <w:marBottom w:val="0"/>
                                  <w:divBdr>
                                    <w:top w:val="none" w:sz="0" w:space="0" w:color="auto"/>
                                    <w:left w:val="none" w:sz="0" w:space="0" w:color="auto"/>
                                    <w:bottom w:val="none" w:sz="0" w:space="0" w:color="auto"/>
                                    <w:right w:val="none" w:sz="0" w:space="0" w:color="auto"/>
                                  </w:divBdr>
                                  <w:divsChild>
                                    <w:div w:id="403381371">
                                      <w:marLeft w:val="0"/>
                                      <w:marRight w:val="0"/>
                                      <w:marTop w:val="0"/>
                                      <w:marBottom w:val="0"/>
                                      <w:divBdr>
                                        <w:top w:val="none" w:sz="0" w:space="0" w:color="auto"/>
                                        <w:left w:val="none" w:sz="0" w:space="0" w:color="auto"/>
                                        <w:bottom w:val="none" w:sz="0" w:space="0" w:color="auto"/>
                                        <w:right w:val="none" w:sz="0" w:space="0" w:color="auto"/>
                                      </w:divBdr>
                                      <w:divsChild>
                                        <w:div w:id="20022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086328">
          <w:marLeft w:val="0"/>
          <w:marRight w:val="0"/>
          <w:marTop w:val="0"/>
          <w:marBottom w:val="0"/>
          <w:divBdr>
            <w:top w:val="none" w:sz="0" w:space="0" w:color="auto"/>
            <w:left w:val="none" w:sz="0" w:space="0" w:color="auto"/>
            <w:bottom w:val="none" w:sz="0" w:space="0" w:color="auto"/>
            <w:right w:val="none" w:sz="0" w:space="0" w:color="auto"/>
          </w:divBdr>
          <w:divsChild>
            <w:div w:id="1011571469">
              <w:marLeft w:val="0"/>
              <w:marRight w:val="0"/>
              <w:marTop w:val="0"/>
              <w:marBottom w:val="0"/>
              <w:divBdr>
                <w:top w:val="none" w:sz="0" w:space="0" w:color="auto"/>
                <w:left w:val="none" w:sz="0" w:space="0" w:color="auto"/>
                <w:bottom w:val="none" w:sz="0" w:space="0" w:color="auto"/>
                <w:right w:val="none" w:sz="0" w:space="0" w:color="auto"/>
              </w:divBdr>
              <w:divsChild>
                <w:div w:id="1438673999">
                  <w:marLeft w:val="0"/>
                  <w:marRight w:val="0"/>
                  <w:marTop w:val="0"/>
                  <w:marBottom w:val="0"/>
                  <w:divBdr>
                    <w:top w:val="none" w:sz="0" w:space="0" w:color="auto"/>
                    <w:left w:val="none" w:sz="0" w:space="0" w:color="auto"/>
                    <w:bottom w:val="none" w:sz="0" w:space="0" w:color="auto"/>
                    <w:right w:val="none" w:sz="0" w:space="0" w:color="auto"/>
                  </w:divBdr>
                  <w:divsChild>
                    <w:div w:id="1234048584">
                      <w:marLeft w:val="0"/>
                      <w:marRight w:val="0"/>
                      <w:marTop w:val="0"/>
                      <w:marBottom w:val="0"/>
                      <w:divBdr>
                        <w:top w:val="none" w:sz="0" w:space="0" w:color="auto"/>
                        <w:left w:val="none" w:sz="0" w:space="0" w:color="auto"/>
                        <w:bottom w:val="none" w:sz="0" w:space="0" w:color="auto"/>
                        <w:right w:val="none" w:sz="0" w:space="0" w:color="auto"/>
                      </w:divBdr>
                      <w:divsChild>
                        <w:div w:id="1746223534">
                          <w:marLeft w:val="0"/>
                          <w:marRight w:val="0"/>
                          <w:marTop w:val="0"/>
                          <w:marBottom w:val="0"/>
                          <w:divBdr>
                            <w:top w:val="none" w:sz="0" w:space="0" w:color="auto"/>
                            <w:left w:val="none" w:sz="0" w:space="0" w:color="auto"/>
                            <w:bottom w:val="none" w:sz="0" w:space="0" w:color="auto"/>
                            <w:right w:val="none" w:sz="0" w:space="0" w:color="auto"/>
                          </w:divBdr>
                          <w:divsChild>
                            <w:div w:id="379742510">
                              <w:marLeft w:val="1187"/>
                              <w:marRight w:val="0"/>
                              <w:marTop w:val="0"/>
                              <w:marBottom w:val="0"/>
                              <w:divBdr>
                                <w:top w:val="none" w:sz="0" w:space="0" w:color="auto"/>
                                <w:left w:val="none" w:sz="0" w:space="0" w:color="auto"/>
                                <w:bottom w:val="none" w:sz="0" w:space="0" w:color="auto"/>
                                <w:right w:val="none" w:sz="0" w:space="0" w:color="auto"/>
                              </w:divBdr>
                              <w:divsChild>
                                <w:div w:id="864904033">
                                  <w:marLeft w:val="0"/>
                                  <w:marRight w:val="0"/>
                                  <w:marTop w:val="0"/>
                                  <w:marBottom w:val="0"/>
                                  <w:divBdr>
                                    <w:top w:val="none" w:sz="0" w:space="0" w:color="auto"/>
                                    <w:left w:val="none" w:sz="0" w:space="0" w:color="auto"/>
                                    <w:bottom w:val="none" w:sz="0" w:space="0" w:color="auto"/>
                                    <w:right w:val="none" w:sz="0" w:space="0" w:color="auto"/>
                                  </w:divBdr>
                                </w:div>
                              </w:divsChild>
                            </w:div>
                            <w:div w:id="484977660">
                              <w:marLeft w:val="0"/>
                              <w:marRight w:val="0"/>
                              <w:marTop w:val="0"/>
                              <w:marBottom w:val="0"/>
                              <w:divBdr>
                                <w:top w:val="none" w:sz="0" w:space="0" w:color="auto"/>
                                <w:left w:val="none" w:sz="0" w:space="0" w:color="auto"/>
                                <w:bottom w:val="none" w:sz="0" w:space="0" w:color="auto"/>
                                <w:right w:val="none" w:sz="0" w:space="0" w:color="auto"/>
                              </w:divBdr>
                              <w:divsChild>
                                <w:div w:id="6694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4597">
          <w:marLeft w:val="0"/>
          <w:marRight w:val="0"/>
          <w:marTop w:val="0"/>
          <w:marBottom w:val="0"/>
          <w:divBdr>
            <w:top w:val="none" w:sz="0" w:space="0" w:color="auto"/>
            <w:left w:val="none" w:sz="0" w:space="0" w:color="auto"/>
            <w:bottom w:val="none" w:sz="0" w:space="0" w:color="auto"/>
            <w:right w:val="none" w:sz="0" w:space="0" w:color="auto"/>
          </w:divBdr>
          <w:divsChild>
            <w:div w:id="1383480274">
              <w:marLeft w:val="0"/>
              <w:marRight w:val="0"/>
              <w:marTop w:val="0"/>
              <w:marBottom w:val="0"/>
              <w:divBdr>
                <w:top w:val="none" w:sz="0" w:space="0" w:color="auto"/>
                <w:left w:val="none" w:sz="0" w:space="0" w:color="auto"/>
                <w:bottom w:val="none" w:sz="0" w:space="0" w:color="auto"/>
                <w:right w:val="none" w:sz="0" w:space="0" w:color="auto"/>
              </w:divBdr>
              <w:divsChild>
                <w:div w:id="926622581">
                  <w:marLeft w:val="0"/>
                  <w:marRight w:val="0"/>
                  <w:marTop w:val="0"/>
                  <w:marBottom w:val="0"/>
                  <w:divBdr>
                    <w:top w:val="none" w:sz="0" w:space="0" w:color="auto"/>
                    <w:left w:val="none" w:sz="0" w:space="0" w:color="auto"/>
                    <w:bottom w:val="none" w:sz="0" w:space="0" w:color="auto"/>
                    <w:right w:val="none" w:sz="0" w:space="0" w:color="auto"/>
                  </w:divBdr>
                  <w:divsChild>
                    <w:div w:id="44567607">
                      <w:marLeft w:val="0"/>
                      <w:marRight w:val="0"/>
                      <w:marTop w:val="0"/>
                      <w:marBottom w:val="0"/>
                      <w:divBdr>
                        <w:top w:val="none" w:sz="0" w:space="0" w:color="auto"/>
                        <w:left w:val="none" w:sz="0" w:space="0" w:color="auto"/>
                        <w:bottom w:val="none" w:sz="0" w:space="0" w:color="auto"/>
                        <w:right w:val="none" w:sz="0" w:space="0" w:color="auto"/>
                      </w:divBdr>
                      <w:divsChild>
                        <w:div w:id="95758032">
                          <w:marLeft w:val="0"/>
                          <w:marRight w:val="0"/>
                          <w:marTop w:val="0"/>
                          <w:marBottom w:val="0"/>
                          <w:divBdr>
                            <w:top w:val="none" w:sz="0" w:space="0" w:color="auto"/>
                            <w:left w:val="none" w:sz="0" w:space="0" w:color="auto"/>
                            <w:bottom w:val="none" w:sz="0" w:space="0" w:color="auto"/>
                            <w:right w:val="none" w:sz="0" w:space="0" w:color="auto"/>
                          </w:divBdr>
                          <w:divsChild>
                            <w:div w:id="1307969890">
                              <w:marLeft w:val="1187"/>
                              <w:marRight w:val="0"/>
                              <w:marTop w:val="0"/>
                              <w:marBottom w:val="0"/>
                              <w:divBdr>
                                <w:top w:val="none" w:sz="0" w:space="0" w:color="auto"/>
                                <w:left w:val="none" w:sz="0" w:space="0" w:color="auto"/>
                                <w:bottom w:val="none" w:sz="0" w:space="0" w:color="auto"/>
                                <w:right w:val="none" w:sz="0" w:space="0" w:color="auto"/>
                              </w:divBdr>
                              <w:divsChild>
                                <w:div w:id="2125151705">
                                  <w:marLeft w:val="0"/>
                                  <w:marRight w:val="0"/>
                                  <w:marTop w:val="0"/>
                                  <w:marBottom w:val="0"/>
                                  <w:divBdr>
                                    <w:top w:val="none" w:sz="0" w:space="0" w:color="auto"/>
                                    <w:left w:val="none" w:sz="0" w:space="0" w:color="auto"/>
                                    <w:bottom w:val="none" w:sz="0" w:space="0" w:color="auto"/>
                                    <w:right w:val="none" w:sz="0" w:space="0" w:color="auto"/>
                                  </w:divBdr>
                                  <w:divsChild>
                                    <w:div w:id="20496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407238">
          <w:marLeft w:val="0"/>
          <w:marRight w:val="0"/>
          <w:marTop w:val="0"/>
          <w:marBottom w:val="0"/>
          <w:divBdr>
            <w:top w:val="none" w:sz="0" w:space="0" w:color="auto"/>
            <w:left w:val="none" w:sz="0" w:space="0" w:color="auto"/>
            <w:bottom w:val="none" w:sz="0" w:space="0" w:color="auto"/>
            <w:right w:val="none" w:sz="0" w:space="0" w:color="auto"/>
          </w:divBdr>
          <w:divsChild>
            <w:div w:id="873230007">
              <w:marLeft w:val="0"/>
              <w:marRight w:val="0"/>
              <w:marTop w:val="0"/>
              <w:marBottom w:val="0"/>
              <w:divBdr>
                <w:top w:val="none" w:sz="0" w:space="0" w:color="auto"/>
                <w:left w:val="none" w:sz="0" w:space="0" w:color="auto"/>
                <w:bottom w:val="none" w:sz="0" w:space="0" w:color="auto"/>
                <w:right w:val="none" w:sz="0" w:space="0" w:color="auto"/>
              </w:divBdr>
              <w:divsChild>
                <w:div w:id="1224021442">
                  <w:marLeft w:val="0"/>
                  <w:marRight w:val="0"/>
                  <w:marTop w:val="0"/>
                  <w:marBottom w:val="0"/>
                  <w:divBdr>
                    <w:top w:val="none" w:sz="0" w:space="0" w:color="auto"/>
                    <w:left w:val="none" w:sz="0" w:space="0" w:color="auto"/>
                    <w:bottom w:val="none" w:sz="0" w:space="0" w:color="auto"/>
                    <w:right w:val="none" w:sz="0" w:space="0" w:color="auto"/>
                  </w:divBdr>
                  <w:divsChild>
                    <w:div w:id="2123188454">
                      <w:marLeft w:val="0"/>
                      <w:marRight w:val="0"/>
                      <w:marTop w:val="0"/>
                      <w:marBottom w:val="0"/>
                      <w:divBdr>
                        <w:top w:val="none" w:sz="0" w:space="0" w:color="auto"/>
                        <w:left w:val="none" w:sz="0" w:space="0" w:color="auto"/>
                        <w:bottom w:val="none" w:sz="0" w:space="0" w:color="auto"/>
                        <w:right w:val="none" w:sz="0" w:space="0" w:color="auto"/>
                      </w:divBdr>
                      <w:divsChild>
                        <w:div w:id="436409589">
                          <w:marLeft w:val="0"/>
                          <w:marRight w:val="0"/>
                          <w:marTop w:val="0"/>
                          <w:marBottom w:val="0"/>
                          <w:divBdr>
                            <w:top w:val="none" w:sz="0" w:space="0" w:color="auto"/>
                            <w:left w:val="none" w:sz="0" w:space="0" w:color="auto"/>
                            <w:bottom w:val="none" w:sz="0" w:space="0" w:color="auto"/>
                            <w:right w:val="none" w:sz="0" w:space="0" w:color="auto"/>
                          </w:divBdr>
                          <w:divsChild>
                            <w:div w:id="860242329">
                              <w:marLeft w:val="1187"/>
                              <w:marRight w:val="0"/>
                              <w:marTop w:val="0"/>
                              <w:marBottom w:val="0"/>
                              <w:divBdr>
                                <w:top w:val="none" w:sz="0" w:space="0" w:color="auto"/>
                                <w:left w:val="none" w:sz="0" w:space="0" w:color="auto"/>
                                <w:bottom w:val="none" w:sz="0" w:space="0" w:color="auto"/>
                                <w:right w:val="none" w:sz="0" w:space="0" w:color="auto"/>
                              </w:divBdr>
                              <w:divsChild>
                                <w:div w:id="17487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862041">
      <w:bodyDiv w:val="1"/>
      <w:marLeft w:val="0"/>
      <w:marRight w:val="0"/>
      <w:marTop w:val="0"/>
      <w:marBottom w:val="0"/>
      <w:divBdr>
        <w:top w:val="none" w:sz="0" w:space="0" w:color="auto"/>
        <w:left w:val="none" w:sz="0" w:space="0" w:color="auto"/>
        <w:bottom w:val="none" w:sz="0" w:space="0" w:color="auto"/>
        <w:right w:val="none" w:sz="0" w:space="0" w:color="auto"/>
      </w:divBdr>
      <w:divsChild>
        <w:div w:id="1407724191">
          <w:marLeft w:val="0"/>
          <w:marRight w:val="0"/>
          <w:marTop w:val="0"/>
          <w:marBottom w:val="0"/>
          <w:divBdr>
            <w:top w:val="none" w:sz="0" w:space="0" w:color="auto"/>
            <w:left w:val="none" w:sz="0" w:space="0" w:color="auto"/>
            <w:bottom w:val="none" w:sz="0" w:space="0" w:color="auto"/>
            <w:right w:val="none" w:sz="0" w:space="0" w:color="auto"/>
          </w:divBdr>
          <w:divsChild>
            <w:div w:id="18146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8099">
      <w:bodyDiv w:val="1"/>
      <w:marLeft w:val="0"/>
      <w:marRight w:val="0"/>
      <w:marTop w:val="0"/>
      <w:marBottom w:val="0"/>
      <w:divBdr>
        <w:top w:val="none" w:sz="0" w:space="0" w:color="auto"/>
        <w:left w:val="none" w:sz="0" w:space="0" w:color="auto"/>
        <w:bottom w:val="none" w:sz="0" w:space="0" w:color="auto"/>
        <w:right w:val="none" w:sz="0" w:space="0" w:color="auto"/>
      </w:divBdr>
      <w:divsChild>
        <w:div w:id="922571792">
          <w:marLeft w:val="0"/>
          <w:marRight w:val="0"/>
          <w:marTop w:val="0"/>
          <w:marBottom w:val="0"/>
          <w:divBdr>
            <w:top w:val="none" w:sz="0" w:space="0" w:color="auto"/>
            <w:left w:val="none" w:sz="0" w:space="0" w:color="auto"/>
            <w:bottom w:val="none" w:sz="0" w:space="0" w:color="auto"/>
            <w:right w:val="none" w:sz="0" w:space="0" w:color="auto"/>
          </w:divBdr>
          <w:divsChild>
            <w:div w:id="1051342770">
              <w:marLeft w:val="0"/>
              <w:marRight w:val="0"/>
              <w:marTop w:val="0"/>
              <w:marBottom w:val="0"/>
              <w:divBdr>
                <w:top w:val="none" w:sz="0" w:space="0" w:color="auto"/>
                <w:left w:val="none" w:sz="0" w:space="0" w:color="auto"/>
                <w:bottom w:val="none" w:sz="0" w:space="0" w:color="auto"/>
                <w:right w:val="none" w:sz="0" w:space="0" w:color="auto"/>
              </w:divBdr>
              <w:divsChild>
                <w:div w:id="816843732">
                  <w:marLeft w:val="0"/>
                  <w:marRight w:val="0"/>
                  <w:marTop w:val="0"/>
                  <w:marBottom w:val="0"/>
                  <w:divBdr>
                    <w:top w:val="none" w:sz="0" w:space="0" w:color="auto"/>
                    <w:left w:val="none" w:sz="0" w:space="0" w:color="auto"/>
                    <w:bottom w:val="none" w:sz="0" w:space="0" w:color="auto"/>
                    <w:right w:val="none" w:sz="0" w:space="0" w:color="auto"/>
                  </w:divBdr>
                  <w:divsChild>
                    <w:div w:id="1733384550">
                      <w:marLeft w:val="0"/>
                      <w:marRight w:val="0"/>
                      <w:marTop w:val="0"/>
                      <w:marBottom w:val="0"/>
                      <w:divBdr>
                        <w:top w:val="none" w:sz="0" w:space="0" w:color="auto"/>
                        <w:left w:val="none" w:sz="0" w:space="0" w:color="auto"/>
                        <w:bottom w:val="none" w:sz="0" w:space="0" w:color="auto"/>
                        <w:right w:val="none" w:sz="0" w:space="0" w:color="auto"/>
                      </w:divBdr>
                      <w:divsChild>
                        <w:div w:id="1148404540">
                          <w:marLeft w:val="1187"/>
                          <w:marRight w:val="0"/>
                          <w:marTop w:val="0"/>
                          <w:marBottom w:val="0"/>
                          <w:divBdr>
                            <w:top w:val="none" w:sz="0" w:space="0" w:color="auto"/>
                            <w:left w:val="none" w:sz="0" w:space="0" w:color="auto"/>
                            <w:bottom w:val="none" w:sz="0" w:space="0" w:color="auto"/>
                            <w:right w:val="none" w:sz="0" w:space="0" w:color="auto"/>
                          </w:divBdr>
                          <w:divsChild>
                            <w:div w:id="402336075">
                              <w:marLeft w:val="0"/>
                              <w:marRight w:val="0"/>
                              <w:marTop w:val="0"/>
                              <w:marBottom w:val="0"/>
                              <w:divBdr>
                                <w:top w:val="none" w:sz="0" w:space="0" w:color="auto"/>
                                <w:left w:val="none" w:sz="0" w:space="0" w:color="auto"/>
                                <w:bottom w:val="none" w:sz="0" w:space="0" w:color="auto"/>
                                <w:right w:val="none" w:sz="0" w:space="0" w:color="auto"/>
                              </w:divBdr>
                              <w:divsChild>
                                <w:div w:id="1176650467">
                                  <w:marLeft w:val="0"/>
                                  <w:marRight w:val="0"/>
                                  <w:marTop w:val="0"/>
                                  <w:marBottom w:val="0"/>
                                  <w:divBdr>
                                    <w:top w:val="none" w:sz="0" w:space="0" w:color="auto"/>
                                    <w:left w:val="none" w:sz="0" w:space="0" w:color="auto"/>
                                    <w:bottom w:val="none" w:sz="0" w:space="0" w:color="auto"/>
                                    <w:right w:val="none" w:sz="0" w:space="0" w:color="auto"/>
                                  </w:divBdr>
                                  <w:divsChild>
                                    <w:div w:id="1753504436">
                                      <w:marLeft w:val="0"/>
                                      <w:marRight w:val="0"/>
                                      <w:marTop w:val="0"/>
                                      <w:marBottom w:val="0"/>
                                      <w:divBdr>
                                        <w:top w:val="none" w:sz="0" w:space="0" w:color="auto"/>
                                        <w:left w:val="none" w:sz="0" w:space="0" w:color="auto"/>
                                        <w:bottom w:val="none" w:sz="0" w:space="0" w:color="auto"/>
                                        <w:right w:val="none" w:sz="0" w:space="0" w:color="auto"/>
                                      </w:divBdr>
                                      <w:divsChild>
                                        <w:div w:id="15775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67648">
          <w:marLeft w:val="0"/>
          <w:marRight w:val="0"/>
          <w:marTop w:val="0"/>
          <w:marBottom w:val="0"/>
          <w:divBdr>
            <w:top w:val="none" w:sz="0" w:space="0" w:color="auto"/>
            <w:left w:val="none" w:sz="0" w:space="0" w:color="auto"/>
            <w:bottom w:val="none" w:sz="0" w:space="0" w:color="auto"/>
            <w:right w:val="none" w:sz="0" w:space="0" w:color="auto"/>
          </w:divBdr>
          <w:divsChild>
            <w:div w:id="1451897913">
              <w:marLeft w:val="0"/>
              <w:marRight w:val="0"/>
              <w:marTop w:val="0"/>
              <w:marBottom w:val="0"/>
              <w:divBdr>
                <w:top w:val="none" w:sz="0" w:space="0" w:color="auto"/>
                <w:left w:val="none" w:sz="0" w:space="0" w:color="auto"/>
                <w:bottom w:val="none" w:sz="0" w:space="0" w:color="auto"/>
                <w:right w:val="none" w:sz="0" w:space="0" w:color="auto"/>
              </w:divBdr>
              <w:divsChild>
                <w:div w:id="1362128152">
                  <w:marLeft w:val="0"/>
                  <w:marRight w:val="0"/>
                  <w:marTop w:val="0"/>
                  <w:marBottom w:val="0"/>
                  <w:divBdr>
                    <w:top w:val="none" w:sz="0" w:space="0" w:color="auto"/>
                    <w:left w:val="none" w:sz="0" w:space="0" w:color="auto"/>
                    <w:bottom w:val="none" w:sz="0" w:space="0" w:color="auto"/>
                    <w:right w:val="none" w:sz="0" w:space="0" w:color="auto"/>
                  </w:divBdr>
                  <w:divsChild>
                    <w:div w:id="850222282">
                      <w:marLeft w:val="0"/>
                      <w:marRight w:val="0"/>
                      <w:marTop w:val="0"/>
                      <w:marBottom w:val="0"/>
                      <w:divBdr>
                        <w:top w:val="none" w:sz="0" w:space="0" w:color="auto"/>
                        <w:left w:val="none" w:sz="0" w:space="0" w:color="auto"/>
                        <w:bottom w:val="none" w:sz="0" w:space="0" w:color="auto"/>
                        <w:right w:val="none" w:sz="0" w:space="0" w:color="auto"/>
                      </w:divBdr>
                      <w:divsChild>
                        <w:div w:id="1159151568">
                          <w:marLeft w:val="0"/>
                          <w:marRight w:val="0"/>
                          <w:marTop w:val="0"/>
                          <w:marBottom w:val="0"/>
                          <w:divBdr>
                            <w:top w:val="none" w:sz="0" w:space="0" w:color="auto"/>
                            <w:left w:val="none" w:sz="0" w:space="0" w:color="auto"/>
                            <w:bottom w:val="none" w:sz="0" w:space="0" w:color="auto"/>
                            <w:right w:val="none" w:sz="0" w:space="0" w:color="auto"/>
                          </w:divBdr>
                          <w:divsChild>
                            <w:div w:id="1218971603">
                              <w:marLeft w:val="0"/>
                              <w:marRight w:val="0"/>
                              <w:marTop w:val="0"/>
                              <w:marBottom w:val="0"/>
                              <w:divBdr>
                                <w:top w:val="none" w:sz="0" w:space="0" w:color="auto"/>
                                <w:left w:val="none" w:sz="0" w:space="0" w:color="auto"/>
                                <w:bottom w:val="none" w:sz="0" w:space="0" w:color="auto"/>
                                <w:right w:val="none" w:sz="0" w:space="0" w:color="auto"/>
                              </w:divBdr>
                              <w:divsChild>
                                <w:div w:id="1016734511">
                                  <w:marLeft w:val="1187"/>
                                  <w:marRight w:val="0"/>
                                  <w:marTop w:val="0"/>
                                  <w:marBottom w:val="0"/>
                                  <w:divBdr>
                                    <w:top w:val="none" w:sz="0" w:space="0" w:color="auto"/>
                                    <w:left w:val="none" w:sz="0" w:space="0" w:color="auto"/>
                                    <w:bottom w:val="none" w:sz="0" w:space="0" w:color="auto"/>
                                    <w:right w:val="none" w:sz="0" w:space="0" w:color="auto"/>
                                  </w:divBdr>
                                  <w:divsChild>
                                    <w:div w:id="21271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731246">
      <w:bodyDiv w:val="1"/>
      <w:marLeft w:val="0"/>
      <w:marRight w:val="0"/>
      <w:marTop w:val="0"/>
      <w:marBottom w:val="0"/>
      <w:divBdr>
        <w:top w:val="none" w:sz="0" w:space="0" w:color="auto"/>
        <w:left w:val="none" w:sz="0" w:space="0" w:color="auto"/>
        <w:bottom w:val="none" w:sz="0" w:space="0" w:color="auto"/>
        <w:right w:val="none" w:sz="0" w:space="0" w:color="auto"/>
      </w:divBdr>
    </w:div>
    <w:div w:id="2006782472">
      <w:bodyDiv w:val="1"/>
      <w:marLeft w:val="0"/>
      <w:marRight w:val="0"/>
      <w:marTop w:val="0"/>
      <w:marBottom w:val="0"/>
      <w:divBdr>
        <w:top w:val="none" w:sz="0" w:space="0" w:color="auto"/>
        <w:left w:val="none" w:sz="0" w:space="0" w:color="auto"/>
        <w:bottom w:val="none" w:sz="0" w:space="0" w:color="auto"/>
        <w:right w:val="none" w:sz="0" w:space="0" w:color="auto"/>
      </w:divBdr>
      <w:divsChild>
        <w:div w:id="345330420">
          <w:marLeft w:val="0"/>
          <w:marRight w:val="0"/>
          <w:marTop w:val="0"/>
          <w:marBottom w:val="0"/>
          <w:divBdr>
            <w:top w:val="none" w:sz="0" w:space="0" w:color="auto"/>
            <w:left w:val="none" w:sz="0" w:space="0" w:color="auto"/>
            <w:bottom w:val="none" w:sz="0" w:space="0" w:color="auto"/>
            <w:right w:val="none" w:sz="0" w:space="0" w:color="auto"/>
          </w:divBdr>
          <w:divsChild>
            <w:div w:id="818620292">
              <w:marLeft w:val="0"/>
              <w:marRight w:val="0"/>
              <w:marTop w:val="0"/>
              <w:marBottom w:val="0"/>
              <w:divBdr>
                <w:top w:val="none" w:sz="0" w:space="0" w:color="auto"/>
                <w:left w:val="none" w:sz="0" w:space="0" w:color="auto"/>
                <w:bottom w:val="none" w:sz="0" w:space="0" w:color="auto"/>
                <w:right w:val="none" w:sz="0" w:space="0" w:color="auto"/>
              </w:divBdr>
              <w:divsChild>
                <w:div w:id="1890452712">
                  <w:marLeft w:val="0"/>
                  <w:marRight w:val="0"/>
                  <w:marTop w:val="0"/>
                  <w:marBottom w:val="0"/>
                  <w:divBdr>
                    <w:top w:val="none" w:sz="0" w:space="0" w:color="auto"/>
                    <w:left w:val="none" w:sz="0" w:space="0" w:color="auto"/>
                    <w:bottom w:val="none" w:sz="0" w:space="0" w:color="auto"/>
                    <w:right w:val="none" w:sz="0" w:space="0" w:color="auto"/>
                  </w:divBdr>
                  <w:divsChild>
                    <w:div w:id="686445984">
                      <w:marLeft w:val="0"/>
                      <w:marRight w:val="0"/>
                      <w:marTop w:val="0"/>
                      <w:marBottom w:val="0"/>
                      <w:divBdr>
                        <w:top w:val="none" w:sz="0" w:space="0" w:color="auto"/>
                        <w:left w:val="none" w:sz="0" w:space="0" w:color="auto"/>
                        <w:bottom w:val="none" w:sz="0" w:space="0" w:color="auto"/>
                        <w:right w:val="none" w:sz="0" w:space="0" w:color="auto"/>
                      </w:divBdr>
                      <w:divsChild>
                        <w:div w:id="1297443098">
                          <w:marLeft w:val="1187"/>
                          <w:marRight w:val="0"/>
                          <w:marTop w:val="0"/>
                          <w:marBottom w:val="0"/>
                          <w:divBdr>
                            <w:top w:val="none" w:sz="0" w:space="0" w:color="auto"/>
                            <w:left w:val="none" w:sz="0" w:space="0" w:color="auto"/>
                            <w:bottom w:val="none" w:sz="0" w:space="0" w:color="auto"/>
                            <w:right w:val="none" w:sz="0" w:space="0" w:color="auto"/>
                          </w:divBdr>
                          <w:divsChild>
                            <w:div w:id="1032849033">
                              <w:marLeft w:val="0"/>
                              <w:marRight w:val="0"/>
                              <w:marTop w:val="0"/>
                              <w:marBottom w:val="0"/>
                              <w:divBdr>
                                <w:top w:val="none" w:sz="0" w:space="0" w:color="auto"/>
                                <w:left w:val="none" w:sz="0" w:space="0" w:color="auto"/>
                                <w:bottom w:val="none" w:sz="0" w:space="0" w:color="auto"/>
                                <w:right w:val="none" w:sz="0" w:space="0" w:color="auto"/>
                              </w:divBdr>
                              <w:divsChild>
                                <w:div w:id="419178036">
                                  <w:marLeft w:val="0"/>
                                  <w:marRight w:val="0"/>
                                  <w:marTop w:val="0"/>
                                  <w:marBottom w:val="0"/>
                                  <w:divBdr>
                                    <w:top w:val="none" w:sz="0" w:space="0" w:color="auto"/>
                                    <w:left w:val="none" w:sz="0" w:space="0" w:color="auto"/>
                                    <w:bottom w:val="none" w:sz="0" w:space="0" w:color="auto"/>
                                    <w:right w:val="none" w:sz="0" w:space="0" w:color="auto"/>
                                  </w:divBdr>
                                  <w:divsChild>
                                    <w:div w:id="1118136825">
                                      <w:marLeft w:val="0"/>
                                      <w:marRight w:val="0"/>
                                      <w:marTop w:val="0"/>
                                      <w:marBottom w:val="0"/>
                                      <w:divBdr>
                                        <w:top w:val="none" w:sz="0" w:space="0" w:color="auto"/>
                                        <w:left w:val="none" w:sz="0" w:space="0" w:color="auto"/>
                                        <w:bottom w:val="none" w:sz="0" w:space="0" w:color="auto"/>
                                        <w:right w:val="none" w:sz="0" w:space="0" w:color="auto"/>
                                      </w:divBdr>
                                      <w:divsChild>
                                        <w:div w:id="7118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265183">
          <w:marLeft w:val="0"/>
          <w:marRight w:val="0"/>
          <w:marTop w:val="0"/>
          <w:marBottom w:val="0"/>
          <w:divBdr>
            <w:top w:val="none" w:sz="0" w:space="0" w:color="auto"/>
            <w:left w:val="none" w:sz="0" w:space="0" w:color="auto"/>
            <w:bottom w:val="none" w:sz="0" w:space="0" w:color="auto"/>
            <w:right w:val="none" w:sz="0" w:space="0" w:color="auto"/>
          </w:divBdr>
          <w:divsChild>
            <w:div w:id="610356628">
              <w:marLeft w:val="0"/>
              <w:marRight w:val="0"/>
              <w:marTop w:val="0"/>
              <w:marBottom w:val="0"/>
              <w:divBdr>
                <w:top w:val="none" w:sz="0" w:space="0" w:color="auto"/>
                <w:left w:val="none" w:sz="0" w:space="0" w:color="auto"/>
                <w:bottom w:val="none" w:sz="0" w:space="0" w:color="auto"/>
                <w:right w:val="none" w:sz="0" w:space="0" w:color="auto"/>
              </w:divBdr>
              <w:divsChild>
                <w:div w:id="1342046996">
                  <w:marLeft w:val="0"/>
                  <w:marRight w:val="0"/>
                  <w:marTop w:val="0"/>
                  <w:marBottom w:val="0"/>
                  <w:divBdr>
                    <w:top w:val="none" w:sz="0" w:space="0" w:color="auto"/>
                    <w:left w:val="none" w:sz="0" w:space="0" w:color="auto"/>
                    <w:bottom w:val="none" w:sz="0" w:space="0" w:color="auto"/>
                    <w:right w:val="none" w:sz="0" w:space="0" w:color="auto"/>
                  </w:divBdr>
                  <w:divsChild>
                    <w:div w:id="81146899">
                      <w:marLeft w:val="0"/>
                      <w:marRight w:val="0"/>
                      <w:marTop w:val="0"/>
                      <w:marBottom w:val="0"/>
                      <w:divBdr>
                        <w:top w:val="none" w:sz="0" w:space="0" w:color="auto"/>
                        <w:left w:val="none" w:sz="0" w:space="0" w:color="auto"/>
                        <w:bottom w:val="none" w:sz="0" w:space="0" w:color="auto"/>
                        <w:right w:val="none" w:sz="0" w:space="0" w:color="auto"/>
                      </w:divBdr>
                      <w:divsChild>
                        <w:div w:id="72901966">
                          <w:marLeft w:val="0"/>
                          <w:marRight w:val="0"/>
                          <w:marTop w:val="0"/>
                          <w:marBottom w:val="0"/>
                          <w:divBdr>
                            <w:top w:val="none" w:sz="0" w:space="0" w:color="auto"/>
                            <w:left w:val="none" w:sz="0" w:space="0" w:color="auto"/>
                            <w:bottom w:val="none" w:sz="0" w:space="0" w:color="auto"/>
                            <w:right w:val="none" w:sz="0" w:space="0" w:color="auto"/>
                          </w:divBdr>
                          <w:divsChild>
                            <w:div w:id="251013750">
                              <w:marLeft w:val="0"/>
                              <w:marRight w:val="0"/>
                              <w:marTop w:val="0"/>
                              <w:marBottom w:val="0"/>
                              <w:divBdr>
                                <w:top w:val="none" w:sz="0" w:space="0" w:color="auto"/>
                                <w:left w:val="none" w:sz="0" w:space="0" w:color="auto"/>
                                <w:bottom w:val="none" w:sz="0" w:space="0" w:color="auto"/>
                                <w:right w:val="none" w:sz="0" w:space="0" w:color="auto"/>
                              </w:divBdr>
                              <w:divsChild>
                                <w:div w:id="981467907">
                                  <w:marLeft w:val="1187"/>
                                  <w:marRight w:val="0"/>
                                  <w:marTop w:val="0"/>
                                  <w:marBottom w:val="0"/>
                                  <w:divBdr>
                                    <w:top w:val="none" w:sz="0" w:space="0" w:color="auto"/>
                                    <w:left w:val="none" w:sz="0" w:space="0" w:color="auto"/>
                                    <w:bottom w:val="none" w:sz="0" w:space="0" w:color="auto"/>
                                    <w:right w:val="none" w:sz="0" w:space="0" w:color="auto"/>
                                  </w:divBdr>
                                  <w:divsChild>
                                    <w:div w:id="18825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553127">
      <w:bodyDiv w:val="1"/>
      <w:marLeft w:val="0"/>
      <w:marRight w:val="0"/>
      <w:marTop w:val="0"/>
      <w:marBottom w:val="0"/>
      <w:divBdr>
        <w:top w:val="none" w:sz="0" w:space="0" w:color="auto"/>
        <w:left w:val="none" w:sz="0" w:space="0" w:color="auto"/>
        <w:bottom w:val="none" w:sz="0" w:space="0" w:color="auto"/>
        <w:right w:val="none" w:sz="0" w:space="0" w:color="auto"/>
      </w:divBdr>
      <w:divsChild>
        <w:div w:id="1359891217">
          <w:marLeft w:val="0"/>
          <w:marRight w:val="0"/>
          <w:marTop w:val="0"/>
          <w:marBottom w:val="0"/>
          <w:divBdr>
            <w:top w:val="none" w:sz="0" w:space="0" w:color="auto"/>
            <w:left w:val="none" w:sz="0" w:space="0" w:color="auto"/>
            <w:bottom w:val="none" w:sz="0" w:space="0" w:color="auto"/>
            <w:right w:val="none" w:sz="0" w:space="0" w:color="auto"/>
          </w:divBdr>
          <w:divsChild>
            <w:div w:id="965819365">
              <w:marLeft w:val="0"/>
              <w:marRight w:val="0"/>
              <w:marTop w:val="0"/>
              <w:marBottom w:val="0"/>
              <w:divBdr>
                <w:top w:val="none" w:sz="0" w:space="0" w:color="auto"/>
                <w:left w:val="none" w:sz="0" w:space="0" w:color="auto"/>
                <w:bottom w:val="none" w:sz="0" w:space="0" w:color="auto"/>
                <w:right w:val="none" w:sz="0" w:space="0" w:color="auto"/>
              </w:divBdr>
              <w:divsChild>
                <w:div w:id="1930313497">
                  <w:marLeft w:val="0"/>
                  <w:marRight w:val="0"/>
                  <w:marTop w:val="0"/>
                  <w:marBottom w:val="0"/>
                  <w:divBdr>
                    <w:top w:val="none" w:sz="0" w:space="0" w:color="auto"/>
                    <w:left w:val="none" w:sz="0" w:space="0" w:color="auto"/>
                    <w:bottom w:val="none" w:sz="0" w:space="0" w:color="auto"/>
                    <w:right w:val="none" w:sz="0" w:space="0" w:color="auto"/>
                  </w:divBdr>
                  <w:divsChild>
                    <w:div w:id="2080982821">
                      <w:marLeft w:val="0"/>
                      <w:marRight w:val="0"/>
                      <w:marTop w:val="0"/>
                      <w:marBottom w:val="0"/>
                      <w:divBdr>
                        <w:top w:val="none" w:sz="0" w:space="0" w:color="auto"/>
                        <w:left w:val="none" w:sz="0" w:space="0" w:color="auto"/>
                        <w:bottom w:val="none" w:sz="0" w:space="0" w:color="auto"/>
                        <w:right w:val="none" w:sz="0" w:space="0" w:color="auto"/>
                      </w:divBdr>
                      <w:divsChild>
                        <w:div w:id="258219357">
                          <w:marLeft w:val="1187"/>
                          <w:marRight w:val="0"/>
                          <w:marTop w:val="0"/>
                          <w:marBottom w:val="0"/>
                          <w:divBdr>
                            <w:top w:val="none" w:sz="0" w:space="0" w:color="auto"/>
                            <w:left w:val="none" w:sz="0" w:space="0" w:color="auto"/>
                            <w:bottom w:val="none" w:sz="0" w:space="0" w:color="auto"/>
                            <w:right w:val="none" w:sz="0" w:space="0" w:color="auto"/>
                          </w:divBdr>
                          <w:divsChild>
                            <w:div w:id="1008365039">
                              <w:marLeft w:val="0"/>
                              <w:marRight w:val="0"/>
                              <w:marTop w:val="0"/>
                              <w:marBottom w:val="0"/>
                              <w:divBdr>
                                <w:top w:val="none" w:sz="0" w:space="0" w:color="auto"/>
                                <w:left w:val="none" w:sz="0" w:space="0" w:color="auto"/>
                                <w:bottom w:val="none" w:sz="0" w:space="0" w:color="auto"/>
                                <w:right w:val="none" w:sz="0" w:space="0" w:color="auto"/>
                              </w:divBdr>
                              <w:divsChild>
                                <w:div w:id="342632926">
                                  <w:marLeft w:val="0"/>
                                  <w:marRight w:val="0"/>
                                  <w:marTop w:val="0"/>
                                  <w:marBottom w:val="0"/>
                                  <w:divBdr>
                                    <w:top w:val="none" w:sz="0" w:space="0" w:color="auto"/>
                                    <w:left w:val="none" w:sz="0" w:space="0" w:color="auto"/>
                                    <w:bottom w:val="none" w:sz="0" w:space="0" w:color="auto"/>
                                    <w:right w:val="none" w:sz="0" w:space="0" w:color="auto"/>
                                  </w:divBdr>
                                  <w:divsChild>
                                    <w:div w:id="1484927857">
                                      <w:marLeft w:val="0"/>
                                      <w:marRight w:val="0"/>
                                      <w:marTop w:val="0"/>
                                      <w:marBottom w:val="0"/>
                                      <w:divBdr>
                                        <w:top w:val="none" w:sz="0" w:space="0" w:color="auto"/>
                                        <w:left w:val="none" w:sz="0" w:space="0" w:color="auto"/>
                                        <w:bottom w:val="none" w:sz="0" w:space="0" w:color="auto"/>
                                        <w:right w:val="none" w:sz="0" w:space="0" w:color="auto"/>
                                      </w:divBdr>
                                      <w:divsChild>
                                        <w:div w:id="12301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630594">
          <w:marLeft w:val="0"/>
          <w:marRight w:val="0"/>
          <w:marTop w:val="0"/>
          <w:marBottom w:val="0"/>
          <w:divBdr>
            <w:top w:val="none" w:sz="0" w:space="0" w:color="auto"/>
            <w:left w:val="none" w:sz="0" w:space="0" w:color="auto"/>
            <w:bottom w:val="none" w:sz="0" w:space="0" w:color="auto"/>
            <w:right w:val="none" w:sz="0" w:space="0" w:color="auto"/>
          </w:divBdr>
          <w:divsChild>
            <w:div w:id="1747268292">
              <w:marLeft w:val="0"/>
              <w:marRight w:val="0"/>
              <w:marTop w:val="0"/>
              <w:marBottom w:val="0"/>
              <w:divBdr>
                <w:top w:val="none" w:sz="0" w:space="0" w:color="auto"/>
                <w:left w:val="none" w:sz="0" w:space="0" w:color="auto"/>
                <w:bottom w:val="none" w:sz="0" w:space="0" w:color="auto"/>
                <w:right w:val="none" w:sz="0" w:space="0" w:color="auto"/>
              </w:divBdr>
              <w:divsChild>
                <w:div w:id="598414026">
                  <w:marLeft w:val="0"/>
                  <w:marRight w:val="0"/>
                  <w:marTop w:val="0"/>
                  <w:marBottom w:val="0"/>
                  <w:divBdr>
                    <w:top w:val="none" w:sz="0" w:space="0" w:color="auto"/>
                    <w:left w:val="none" w:sz="0" w:space="0" w:color="auto"/>
                    <w:bottom w:val="none" w:sz="0" w:space="0" w:color="auto"/>
                    <w:right w:val="none" w:sz="0" w:space="0" w:color="auto"/>
                  </w:divBdr>
                  <w:divsChild>
                    <w:div w:id="1654679620">
                      <w:marLeft w:val="0"/>
                      <w:marRight w:val="0"/>
                      <w:marTop w:val="0"/>
                      <w:marBottom w:val="0"/>
                      <w:divBdr>
                        <w:top w:val="none" w:sz="0" w:space="0" w:color="auto"/>
                        <w:left w:val="none" w:sz="0" w:space="0" w:color="auto"/>
                        <w:bottom w:val="none" w:sz="0" w:space="0" w:color="auto"/>
                        <w:right w:val="none" w:sz="0" w:space="0" w:color="auto"/>
                      </w:divBdr>
                      <w:divsChild>
                        <w:div w:id="360866395">
                          <w:marLeft w:val="0"/>
                          <w:marRight w:val="0"/>
                          <w:marTop w:val="0"/>
                          <w:marBottom w:val="0"/>
                          <w:divBdr>
                            <w:top w:val="none" w:sz="0" w:space="0" w:color="auto"/>
                            <w:left w:val="none" w:sz="0" w:space="0" w:color="auto"/>
                            <w:bottom w:val="none" w:sz="0" w:space="0" w:color="auto"/>
                            <w:right w:val="none" w:sz="0" w:space="0" w:color="auto"/>
                          </w:divBdr>
                          <w:divsChild>
                            <w:div w:id="1791826116">
                              <w:marLeft w:val="0"/>
                              <w:marRight w:val="0"/>
                              <w:marTop w:val="0"/>
                              <w:marBottom w:val="0"/>
                              <w:divBdr>
                                <w:top w:val="none" w:sz="0" w:space="0" w:color="auto"/>
                                <w:left w:val="none" w:sz="0" w:space="0" w:color="auto"/>
                                <w:bottom w:val="none" w:sz="0" w:space="0" w:color="auto"/>
                                <w:right w:val="none" w:sz="0" w:space="0" w:color="auto"/>
                              </w:divBdr>
                              <w:divsChild>
                                <w:div w:id="2017422406">
                                  <w:marLeft w:val="1187"/>
                                  <w:marRight w:val="0"/>
                                  <w:marTop w:val="0"/>
                                  <w:marBottom w:val="0"/>
                                  <w:divBdr>
                                    <w:top w:val="none" w:sz="0" w:space="0" w:color="auto"/>
                                    <w:left w:val="none" w:sz="0" w:space="0" w:color="auto"/>
                                    <w:bottom w:val="none" w:sz="0" w:space="0" w:color="auto"/>
                                    <w:right w:val="none" w:sz="0" w:space="0" w:color="auto"/>
                                  </w:divBdr>
                                  <w:divsChild>
                                    <w:div w:id="19545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governance.org/economic-models" TargetMode="External"/><Relationship Id="rId3" Type="http://schemas.openxmlformats.org/officeDocument/2006/relationships/webSettings" Target="webSettings.xml"/><Relationship Id="rId7" Type="http://schemas.openxmlformats.org/officeDocument/2006/relationships/hyperlink" Target="https://www.imf.org/external/np/fad/far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csi.columbia.edu/work/projects/open-fiscal-models/"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1952</Words>
  <Characters>11129</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4</cp:revision>
  <dcterms:created xsi:type="dcterms:W3CDTF">2023-03-16T08:21:00Z</dcterms:created>
  <dcterms:modified xsi:type="dcterms:W3CDTF">2023-03-21T10:38:00Z</dcterms:modified>
</cp:coreProperties>
</file>