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CB78B" w14:textId="77777777" w:rsidR="008E608A" w:rsidRPr="00A815B9" w:rsidRDefault="008E608A" w:rsidP="008E608A">
      <w:pPr>
        <w:spacing w:after="80" w:line="276" w:lineRule="auto"/>
        <w:jc w:val="both"/>
        <w:rPr>
          <w:rFonts w:ascii="Tahoma" w:hAnsi="Tahoma" w:cs="Tahoma"/>
        </w:rPr>
      </w:pPr>
    </w:p>
    <w:p w14:paraId="43DA2DAE" w14:textId="77777777" w:rsidR="008E608A" w:rsidRDefault="008E608A" w:rsidP="008E608A">
      <w:pPr>
        <w:pBdr>
          <w:bottom w:val="single" w:sz="4" w:space="1" w:color="1C6EA4"/>
        </w:pBdr>
        <w:spacing w:before="60" w:after="80" w:line="276" w:lineRule="auto"/>
        <w:jc w:val="both"/>
        <w:rPr>
          <w:rFonts w:ascii="Tahoma" w:hAnsi="Tahoma" w:cs="Tahoma"/>
        </w:rPr>
      </w:pPr>
    </w:p>
    <w:p w14:paraId="2417526A" w14:textId="77777777" w:rsidR="008E608A" w:rsidRDefault="008E608A" w:rsidP="008E608A">
      <w:pPr>
        <w:pBdr>
          <w:bottom w:val="single" w:sz="4" w:space="1" w:color="1C6EA4"/>
        </w:pBdr>
        <w:spacing w:before="60" w:after="80" w:line="276" w:lineRule="auto"/>
        <w:jc w:val="both"/>
        <w:rPr>
          <w:rFonts w:ascii="Tahoma" w:hAnsi="Tahoma" w:cs="Tahoma"/>
        </w:rPr>
      </w:pPr>
    </w:p>
    <w:p w14:paraId="2DC17D0F" w14:textId="77777777" w:rsidR="008E608A" w:rsidRDefault="008E608A" w:rsidP="008E608A">
      <w:pPr>
        <w:pBdr>
          <w:bottom w:val="single" w:sz="4" w:space="1" w:color="1C6EA4"/>
        </w:pBdr>
        <w:spacing w:before="60" w:after="80" w:line="276" w:lineRule="auto"/>
        <w:jc w:val="both"/>
        <w:rPr>
          <w:rFonts w:ascii="Tahoma" w:hAnsi="Tahoma" w:cs="Tahoma"/>
        </w:rPr>
      </w:pPr>
    </w:p>
    <w:p w14:paraId="72E7660A" w14:textId="77777777" w:rsidR="008E608A" w:rsidRDefault="008E608A" w:rsidP="008E608A">
      <w:pPr>
        <w:pBdr>
          <w:bottom w:val="single" w:sz="4" w:space="1" w:color="1C6EA4"/>
        </w:pBdr>
        <w:spacing w:before="60" w:after="80" w:line="276" w:lineRule="auto"/>
        <w:jc w:val="both"/>
        <w:rPr>
          <w:rFonts w:ascii="Tahoma" w:hAnsi="Tahoma" w:cs="Tahoma"/>
        </w:rPr>
      </w:pPr>
    </w:p>
    <w:p w14:paraId="32427350" w14:textId="77777777" w:rsidR="008E608A" w:rsidRDefault="008E608A" w:rsidP="008E608A">
      <w:pPr>
        <w:pBdr>
          <w:bottom w:val="single" w:sz="4" w:space="1" w:color="1C6EA4"/>
        </w:pBdr>
        <w:spacing w:before="60" w:after="80" w:line="276" w:lineRule="auto"/>
        <w:jc w:val="both"/>
        <w:rPr>
          <w:rFonts w:ascii="Tahoma" w:hAnsi="Tahoma" w:cs="Tahoma"/>
        </w:rPr>
      </w:pPr>
    </w:p>
    <w:p w14:paraId="3A4E8A45" w14:textId="77777777" w:rsidR="008E608A" w:rsidRDefault="008E608A" w:rsidP="008E608A">
      <w:pPr>
        <w:pBdr>
          <w:bottom w:val="single" w:sz="4" w:space="1" w:color="1C6EA4"/>
        </w:pBdr>
        <w:spacing w:before="60" w:after="80" w:line="276" w:lineRule="auto"/>
        <w:jc w:val="both"/>
        <w:rPr>
          <w:rFonts w:ascii="Tahoma" w:hAnsi="Tahoma" w:cs="Tahoma"/>
        </w:rPr>
      </w:pPr>
    </w:p>
    <w:p w14:paraId="721B5A78" w14:textId="77777777" w:rsidR="008E608A" w:rsidRDefault="008E608A" w:rsidP="008E608A">
      <w:pPr>
        <w:pBdr>
          <w:bottom w:val="single" w:sz="4" w:space="1" w:color="1C6EA4"/>
        </w:pBdr>
        <w:spacing w:before="60" w:after="80" w:line="276" w:lineRule="auto"/>
        <w:jc w:val="both"/>
        <w:rPr>
          <w:rFonts w:ascii="Tahoma" w:hAnsi="Tahoma" w:cs="Tahoma"/>
        </w:rPr>
      </w:pPr>
    </w:p>
    <w:p w14:paraId="1E6AB2E5" w14:textId="77777777" w:rsidR="008E608A" w:rsidRDefault="008E608A" w:rsidP="008E608A">
      <w:pPr>
        <w:pBdr>
          <w:bottom w:val="single" w:sz="4" w:space="1" w:color="1C6EA4"/>
        </w:pBdr>
        <w:spacing w:before="60" w:after="80" w:line="276" w:lineRule="auto"/>
        <w:jc w:val="both"/>
        <w:rPr>
          <w:rFonts w:ascii="Tahoma" w:hAnsi="Tahoma" w:cs="Tahoma"/>
        </w:rPr>
      </w:pPr>
    </w:p>
    <w:p w14:paraId="7E5DB40F" w14:textId="77777777" w:rsidR="008E608A" w:rsidRDefault="008E608A" w:rsidP="008E608A">
      <w:pPr>
        <w:pBdr>
          <w:bottom w:val="single" w:sz="4" w:space="1" w:color="1C6EA4"/>
        </w:pBdr>
        <w:spacing w:before="60" w:after="80" w:line="276" w:lineRule="auto"/>
        <w:jc w:val="both"/>
        <w:rPr>
          <w:rFonts w:ascii="Tahoma" w:hAnsi="Tahoma" w:cs="Tahoma"/>
        </w:rPr>
      </w:pPr>
    </w:p>
    <w:p w14:paraId="6BD19E7B" w14:textId="77777777" w:rsidR="008E608A" w:rsidRPr="00A815B9" w:rsidRDefault="008E608A" w:rsidP="008E608A">
      <w:pPr>
        <w:pBdr>
          <w:bottom w:val="single" w:sz="4" w:space="1" w:color="1C6EA4"/>
        </w:pBdr>
        <w:spacing w:before="60" w:after="80" w:line="276" w:lineRule="auto"/>
        <w:jc w:val="both"/>
        <w:rPr>
          <w:rFonts w:ascii="Tahoma" w:hAnsi="Tahoma" w:cs="Tahoma"/>
        </w:rPr>
      </w:pPr>
    </w:p>
    <w:p w14:paraId="63B9B869" w14:textId="77777777" w:rsidR="008E608A" w:rsidRPr="00A815B9" w:rsidRDefault="008E608A" w:rsidP="008E608A">
      <w:pPr>
        <w:spacing w:after="80" w:line="276" w:lineRule="auto"/>
        <w:jc w:val="both"/>
        <w:rPr>
          <w:rFonts w:ascii="Tahoma" w:hAnsi="Tahoma" w:cs="Tahoma"/>
        </w:rPr>
      </w:pPr>
    </w:p>
    <w:p w14:paraId="66E48B5A" w14:textId="77777777" w:rsidR="008E608A" w:rsidRPr="00A815B9" w:rsidRDefault="008E608A" w:rsidP="008E608A">
      <w:pPr>
        <w:spacing w:after="80" w:line="276" w:lineRule="auto"/>
        <w:jc w:val="both"/>
        <w:rPr>
          <w:rFonts w:ascii="Tahoma" w:hAnsi="Tahoma" w:cs="Tahoma"/>
        </w:rPr>
      </w:pPr>
      <w:r w:rsidRPr="00A815B9">
        <w:rPr>
          <w:rFonts w:ascii="Tahoma" w:hAnsi="Tahoma" w:cs="Tahoma"/>
          <w:b/>
          <w:bCs/>
          <w:color w:val="1C3A5C"/>
          <w:sz w:val="40"/>
          <w:szCs w:val="40"/>
        </w:rPr>
        <w:t>RAPPORT ANALYTIQUE</w:t>
      </w:r>
    </w:p>
    <w:p w14:paraId="68C2FB85" w14:textId="77777777" w:rsidR="008E608A" w:rsidRPr="00A815B9" w:rsidRDefault="008E608A" w:rsidP="008E608A">
      <w:pPr>
        <w:spacing w:after="80" w:line="276" w:lineRule="auto"/>
        <w:jc w:val="both"/>
        <w:rPr>
          <w:rFonts w:ascii="Tahoma" w:hAnsi="Tahoma" w:cs="Tahoma"/>
        </w:rPr>
      </w:pPr>
      <w:r w:rsidRPr="00A815B9">
        <w:rPr>
          <w:rFonts w:ascii="Tahoma" w:hAnsi="Tahoma" w:cs="Tahoma"/>
          <w:b/>
          <w:bCs/>
          <w:color w:val="1C6EA4"/>
          <w:sz w:val="29"/>
          <w:szCs w:val="29"/>
        </w:rPr>
        <w:t>EXPLOITATION MINIÈRE ARTISANALE ET À PETITE ÉCHELLE (EMAPE)</w:t>
      </w:r>
    </w:p>
    <w:p w14:paraId="1B3818E0" w14:textId="77777777" w:rsidR="008E608A" w:rsidRPr="0096146B" w:rsidRDefault="008E608A" w:rsidP="008E608A">
      <w:pPr>
        <w:spacing w:after="80" w:line="276" w:lineRule="auto"/>
        <w:jc w:val="both"/>
        <w:rPr>
          <w:rFonts w:ascii="Tahoma" w:hAnsi="Tahoma" w:cs="Tahoma"/>
          <w:b/>
          <w:bCs/>
          <w:color w:val="2E75B6"/>
          <w:sz w:val="25"/>
          <w:szCs w:val="25"/>
        </w:rPr>
      </w:pPr>
      <w:r w:rsidRPr="00A815B9">
        <w:rPr>
          <w:rFonts w:ascii="Tahoma" w:hAnsi="Tahoma" w:cs="Tahoma"/>
          <w:b/>
          <w:bCs/>
          <w:color w:val="2E75B6"/>
          <w:sz w:val="25"/>
          <w:szCs w:val="25"/>
        </w:rPr>
        <w:t xml:space="preserve">FLUX COMMERCIAUX D'OR, PROBLÉMATIQUES DE DONNÉES ET </w:t>
      </w:r>
      <w:r>
        <w:rPr>
          <w:rFonts w:ascii="Tahoma" w:hAnsi="Tahoma" w:cs="Tahoma"/>
          <w:b/>
          <w:bCs/>
          <w:color w:val="2E75B6"/>
          <w:sz w:val="25"/>
          <w:szCs w:val="25"/>
        </w:rPr>
        <w:br/>
        <w:t>STATISTIQUE MIROIR</w:t>
      </w:r>
    </w:p>
    <w:p w14:paraId="521F1101" w14:textId="77777777" w:rsidR="008E608A" w:rsidRPr="00A815B9" w:rsidRDefault="008E608A" w:rsidP="008E608A">
      <w:pPr>
        <w:pBdr>
          <w:bottom w:val="single" w:sz="4" w:space="1" w:color="1C6EA4"/>
        </w:pBdr>
        <w:spacing w:before="60" w:after="80" w:line="276" w:lineRule="auto"/>
        <w:jc w:val="both"/>
        <w:rPr>
          <w:rFonts w:ascii="Tahoma" w:hAnsi="Tahoma" w:cs="Tahoma"/>
        </w:rPr>
      </w:pPr>
    </w:p>
    <w:p w14:paraId="0CDC4615" w14:textId="77777777" w:rsidR="008E608A" w:rsidRPr="00A815B9" w:rsidRDefault="008E608A" w:rsidP="008E608A">
      <w:pPr>
        <w:spacing w:after="80" w:line="276" w:lineRule="auto"/>
        <w:jc w:val="both"/>
        <w:rPr>
          <w:rFonts w:ascii="Tahoma" w:hAnsi="Tahoma" w:cs="Tahoma"/>
        </w:rPr>
      </w:pPr>
      <w:r w:rsidRPr="00A815B9">
        <w:rPr>
          <w:rFonts w:ascii="Tahoma" w:hAnsi="Tahoma" w:cs="Tahoma"/>
        </w:rPr>
        <w:br w:type="page"/>
      </w:r>
    </w:p>
    <w:p w14:paraId="79794AA0" w14:textId="77777777" w:rsidR="008E608A" w:rsidRPr="00A815B9" w:rsidRDefault="008E608A" w:rsidP="008E608A">
      <w:pPr>
        <w:pStyle w:val="Titre1"/>
        <w:spacing w:after="80" w:line="276" w:lineRule="auto"/>
        <w:jc w:val="both"/>
        <w:rPr>
          <w:rFonts w:ascii="Tahoma" w:hAnsi="Tahoma" w:cs="Tahoma"/>
        </w:rPr>
      </w:pPr>
      <w:bookmarkStart w:id="0" w:name="_Toc230168222"/>
      <w:r w:rsidRPr="00A815B9">
        <w:rPr>
          <w:rFonts w:ascii="Tahoma" w:hAnsi="Tahoma" w:cs="Tahoma"/>
        </w:rPr>
        <w:lastRenderedPageBreak/>
        <w:t>Résumé exécutif</w:t>
      </w:r>
      <w:bookmarkEnd w:id="0"/>
    </w:p>
    <w:p w14:paraId="3D30C267"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Le présent rapport constitue une analyse </w:t>
      </w:r>
      <w:r w:rsidRPr="00A815B9">
        <w:rPr>
          <w:rFonts w:ascii="Tahoma" w:hAnsi="Tahoma" w:cs="Tahoma"/>
          <w:color w:val="000000"/>
          <w:highlight w:val="yellow"/>
        </w:rPr>
        <w:t>intégrée et approfondie</w:t>
      </w:r>
      <w:r w:rsidRPr="00A815B9">
        <w:rPr>
          <w:rFonts w:ascii="Tahoma" w:hAnsi="Tahoma" w:cs="Tahoma"/>
          <w:color w:val="000000"/>
        </w:rPr>
        <w:t xml:space="preserve"> des flux commerciaux internationaux d'or issu de l'Exploitation </w:t>
      </w:r>
      <w:r>
        <w:rPr>
          <w:rFonts w:ascii="Tahoma" w:hAnsi="Tahoma" w:cs="Tahoma"/>
          <w:color w:val="000000"/>
        </w:rPr>
        <w:t>m</w:t>
      </w:r>
      <w:r w:rsidRPr="00A815B9">
        <w:rPr>
          <w:rFonts w:ascii="Tahoma" w:hAnsi="Tahoma" w:cs="Tahoma"/>
          <w:color w:val="000000"/>
        </w:rPr>
        <w:t xml:space="preserve">inière </w:t>
      </w:r>
      <w:r>
        <w:rPr>
          <w:rFonts w:ascii="Tahoma" w:hAnsi="Tahoma" w:cs="Tahoma"/>
          <w:color w:val="000000"/>
        </w:rPr>
        <w:t>a</w:t>
      </w:r>
      <w:r w:rsidRPr="00A815B9">
        <w:rPr>
          <w:rFonts w:ascii="Tahoma" w:hAnsi="Tahoma" w:cs="Tahoma"/>
          <w:color w:val="000000"/>
        </w:rPr>
        <w:t xml:space="preserve">rtisanale et à Petite Échelle (EMAPE) au Sénégal. Il mobilise trois corpus de données complémentaires : les statistiques d'importation des pays partenaires extraites de la plateforme UN </w:t>
      </w:r>
      <w:proofErr w:type="spellStart"/>
      <w:r w:rsidRPr="00A815B9">
        <w:rPr>
          <w:rFonts w:ascii="Tahoma" w:hAnsi="Tahoma" w:cs="Tahoma"/>
          <w:color w:val="000000"/>
        </w:rPr>
        <w:t>Comtrade</w:t>
      </w:r>
      <w:proofErr w:type="spellEnd"/>
      <w:r w:rsidRPr="00A815B9">
        <w:rPr>
          <w:rFonts w:ascii="Tahoma" w:hAnsi="Tahoma" w:cs="Tahoma"/>
          <w:color w:val="000000"/>
        </w:rPr>
        <w:t xml:space="preserve"> (2020–2024), les données d'exportation déclarées dans les rapports ITIE, et les données de production déclarées par les titulaires de titres miniers EMAPE (2023–2025).</w:t>
      </w:r>
    </w:p>
    <w:p w14:paraId="129EC103"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Le rapport documente également la problématique structurelle de disponibilité et de publication des données EMAPE, en identifiant les obstacles institutionnels, techniques, statistiques et douaniers qui limitent la transparence du sous-secteur.</w:t>
      </w:r>
    </w:p>
    <w:p w14:paraId="6F5F5087" w14:textId="77777777" w:rsidR="008E608A" w:rsidRPr="00A815B9" w:rsidRDefault="008E608A" w:rsidP="008E608A">
      <w:pPr>
        <w:spacing w:after="80" w:line="276" w:lineRule="auto"/>
        <w:jc w:val="both"/>
        <w:rPr>
          <w:rFonts w:ascii="Tahoma" w:hAnsi="Tahoma" w:cs="Tahoma"/>
        </w:rPr>
      </w:pPr>
    </w:p>
    <w:p w14:paraId="36A12CFA" w14:textId="77777777" w:rsidR="008E608A" w:rsidRPr="00A815B9" w:rsidRDefault="008E608A" w:rsidP="008E608A">
      <w:pPr>
        <w:spacing w:after="80" w:line="276" w:lineRule="auto"/>
        <w:jc w:val="both"/>
        <w:rPr>
          <w:rFonts w:ascii="Tahoma" w:hAnsi="Tahoma" w:cs="Tahoma"/>
        </w:rPr>
      </w:pPr>
      <w:r w:rsidRPr="00A815B9">
        <w:rPr>
          <w:rFonts w:ascii="Tahoma" w:hAnsi="Tahoma" w:cs="Tahoma"/>
          <w:b/>
          <w:bCs/>
          <w:color w:val="000000"/>
        </w:rPr>
        <w:t>Les principaux constats sont les suivants :</w:t>
      </w:r>
    </w:p>
    <w:p w14:paraId="604735E1"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 xml:space="preserve">Un écart cumulé de 25,4 tonnes (t) entre les importations déclarées par les pays partenaires (93,6 t) et les exportations déclarées côté Sénégal (68,2 t) sur 2020–2024, </w:t>
      </w:r>
      <w:r>
        <w:rPr>
          <w:rFonts w:ascii="Tahoma" w:hAnsi="Tahoma" w:cs="Tahoma"/>
        </w:rPr>
        <w:t>entrainant</w:t>
      </w:r>
      <w:r w:rsidRPr="00A815B9">
        <w:rPr>
          <w:rFonts w:ascii="Tahoma" w:hAnsi="Tahoma" w:cs="Tahoma"/>
        </w:rPr>
        <w:t xml:space="preserve"> une perte fiscale </w:t>
      </w:r>
      <w:r>
        <w:rPr>
          <w:rFonts w:ascii="Tahoma" w:hAnsi="Tahoma" w:cs="Tahoma"/>
        </w:rPr>
        <w:t>importante ;</w:t>
      </w:r>
    </w:p>
    <w:p w14:paraId="26EAE862"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Un taux moyen de non-déclaration de 27,1 % sur la période, avec une forte variabilité annuelle (50,4 % en 2020 → 4,6 % en 2024), dont l'interprétation requiert prudence analytique.</w:t>
      </w:r>
    </w:p>
    <w:p w14:paraId="1CE1C3CE"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 xml:space="preserve">Une production EMAPE déclarée dérisoire : 62 kg en 2023, 88 kg en 2024 et 23 kg en 2025 </w:t>
      </w:r>
      <w:r>
        <w:rPr>
          <w:rFonts w:ascii="Tahoma" w:hAnsi="Tahoma" w:cs="Tahoma"/>
        </w:rPr>
        <w:t>-</w:t>
      </w:r>
      <w:r w:rsidRPr="00A815B9">
        <w:rPr>
          <w:rFonts w:ascii="Tahoma" w:hAnsi="Tahoma" w:cs="Tahoma"/>
        </w:rPr>
        <w:t xml:space="preserve"> pour 12 entreprises déclarantes seulement sur 150 autorisations actives </w:t>
      </w:r>
      <w:r>
        <w:rPr>
          <w:rFonts w:ascii="Tahoma" w:hAnsi="Tahoma" w:cs="Tahoma"/>
        </w:rPr>
        <w:t>-</w:t>
      </w:r>
      <w:r w:rsidRPr="00A815B9">
        <w:rPr>
          <w:rFonts w:ascii="Tahoma" w:hAnsi="Tahoma" w:cs="Tahoma"/>
        </w:rPr>
        <w:t xml:space="preserve"> révélant un angle mort statistique majeur.</w:t>
      </w:r>
    </w:p>
    <w:p w14:paraId="1C218543"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Une concentration géographique persistante des importations sur deux corridors : la Suisse (57 % cumulés) et l'Australie (19 %), avec une trajectoire préoccupante du corridor EAU (progression jusqu'en 2023, disparition totale en 2024).</w:t>
      </w:r>
    </w:p>
    <w:p w14:paraId="4D02237F"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Des obstacles structurels à la publication des données : informalité du sous-secteur, défaillances des comptoirs d'achat, absence de base centralisée, faible traçabilité et fragmentation institutionnelle entre DGMG, DCSOM, DGCSO, douanes et ANSD.</w:t>
      </w:r>
    </w:p>
    <w:p w14:paraId="661895E7" w14:textId="77777777" w:rsidR="008E608A" w:rsidRPr="00A815B9" w:rsidRDefault="008E608A" w:rsidP="008E608A">
      <w:pPr>
        <w:spacing w:after="80" w:line="276" w:lineRule="auto"/>
        <w:jc w:val="both"/>
        <w:rPr>
          <w:rFonts w:ascii="Tahoma" w:hAnsi="Tahoma" w:cs="Tahoma"/>
        </w:rPr>
      </w:pPr>
    </w:p>
    <w:p w14:paraId="583BA5CB" w14:textId="77777777" w:rsidR="008E608A" w:rsidRPr="00A815B9" w:rsidRDefault="008E608A" w:rsidP="008E608A">
      <w:pPr>
        <w:pBdr>
          <w:top w:val="single" w:sz="6" w:space="6" w:color="1C6EA4"/>
          <w:left w:val="single" w:sz="18" w:space="8" w:color="1C6EA4"/>
          <w:bottom w:val="single" w:sz="6" w:space="6" w:color="1C6EA4"/>
          <w:right w:val="single" w:sz="6" w:space="6" w:color="1C6EA4"/>
        </w:pBdr>
        <w:shd w:val="clear" w:color="auto" w:fill="EBF3FB"/>
        <w:spacing w:before="160" w:after="80" w:line="276" w:lineRule="auto"/>
        <w:ind w:left="360" w:right="240"/>
        <w:jc w:val="both"/>
        <w:rPr>
          <w:rFonts w:ascii="Tahoma" w:hAnsi="Tahoma" w:cs="Tahoma"/>
        </w:rPr>
      </w:pPr>
      <w:r w:rsidRPr="00A815B9">
        <w:rPr>
          <w:rFonts w:ascii="Tahoma" w:hAnsi="Tahoma" w:cs="Tahoma"/>
          <w:color w:val="1C3A5C"/>
          <w:sz w:val="21"/>
          <w:szCs w:val="21"/>
        </w:rPr>
        <w:t>Ces constats appellent un renforcement substantiel des mécanismes de traçabilité et de gouvernance statistique du sous-secteur EMAPE, en cohérence avec la Norme ITIE 2023 (Exigence 6.3).</w:t>
      </w:r>
    </w:p>
    <w:p w14:paraId="035445A6" w14:textId="77777777" w:rsidR="008E608A" w:rsidRPr="00A815B9" w:rsidRDefault="008E608A" w:rsidP="008E608A">
      <w:pPr>
        <w:spacing w:after="80" w:line="276" w:lineRule="auto"/>
        <w:jc w:val="both"/>
        <w:rPr>
          <w:rFonts w:ascii="Tahoma" w:hAnsi="Tahoma" w:cs="Tahoma"/>
        </w:rPr>
      </w:pPr>
      <w:r w:rsidRPr="00A815B9">
        <w:rPr>
          <w:rFonts w:ascii="Tahoma" w:hAnsi="Tahoma" w:cs="Tahoma"/>
        </w:rPr>
        <w:br w:type="page"/>
      </w:r>
    </w:p>
    <w:p w14:paraId="5300B02B" w14:textId="77777777" w:rsidR="008E608A" w:rsidRPr="00A815B9" w:rsidRDefault="008E608A" w:rsidP="008E608A">
      <w:pPr>
        <w:pStyle w:val="Titre1"/>
        <w:spacing w:after="80" w:line="276" w:lineRule="auto"/>
        <w:jc w:val="both"/>
        <w:rPr>
          <w:rFonts w:ascii="Tahoma" w:hAnsi="Tahoma" w:cs="Tahoma"/>
        </w:rPr>
      </w:pPr>
      <w:bookmarkStart w:id="1" w:name="_Toc230168223"/>
      <w:r w:rsidRPr="00A815B9">
        <w:rPr>
          <w:rFonts w:ascii="Tahoma" w:hAnsi="Tahoma" w:cs="Tahoma"/>
        </w:rPr>
        <w:lastRenderedPageBreak/>
        <w:t>Table des matières</w:t>
      </w:r>
      <w:bookmarkEnd w:id="1"/>
    </w:p>
    <w:sdt>
      <w:sdtPr>
        <w:rPr>
          <w:rFonts w:ascii="Tahoma" w:hAnsi="Tahoma" w:cs="Tahoma"/>
        </w:rPr>
        <w:alias w:val="Table des matières"/>
        <w:id w:val="-2022610524"/>
      </w:sdtPr>
      <w:sdtContent>
        <w:p w14:paraId="5C734AAC" w14:textId="77777777" w:rsidR="008E608A" w:rsidRDefault="008E608A" w:rsidP="008E608A">
          <w:pPr>
            <w:pStyle w:val="TM1"/>
            <w:tabs>
              <w:tab w:val="right" w:leader="dot" w:pos="9556"/>
            </w:tabs>
            <w:rPr>
              <w:rFonts w:asciiTheme="minorHAnsi" w:eastAsiaTheme="minorEastAsia" w:hAnsiTheme="minorHAnsi" w:cstheme="minorBidi"/>
              <w:noProof/>
            </w:rPr>
          </w:pPr>
          <w:r>
            <w:rPr>
              <w:rFonts w:ascii="Tahoma" w:hAnsi="Tahoma" w:cs="Tahoma"/>
            </w:rPr>
            <w:fldChar w:fldCharType="begin"/>
          </w:r>
          <w:r>
            <w:rPr>
              <w:rFonts w:ascii="Tahoma" w:hAnsi="Tahoma" w:cs="Tahoma"/>
            </w:rPr>
            <w:instrText xml:space="preserve"> TOC \o "1-2" \h \z \u </w:instrText>
          </w:r>
          <w:r>
            <w:rPr>
              <w:rFonts w:ascii="Tahoma" w:hAnsi="Tahoma" w:cs="Tahoma"/>
            </w:rPr>
            <w:fldChar w:fldCharType="separate"/>
          </w:r>
          <w:hyperlink w:anchor="_Toc230168222" w:history="1">
            <w:r w:rsidRPr="0097383E">
              <w:rPr>
                <w:rStyle w:val="Lienhypertexte"/>
                <w:rFonts w:ascii="Tahoma" w:hAnsi="Tahoma" w:cs="Tahoma"/>
                <w:noProof/>
              </w:rPr>
              <w:t>Résumé exécutif</w:t>
            </w:r>
            <w:r>
              <w:rPr>
                <w:noProof/>
                <w:webHidden/>
              </w:rPr>
              <w:tab/>
            </w:r>
            <w:r>
              <w:rPr>
                <w:noProof/>
                <w:webHidden/>
              </w:rPr>
              <w:fldChar w:fldCharType="begin"/>
            </w:r>
            <w:r>
              <w:rPr>
                <w:noProof/>
                <w:webHidden/>
              </w:rPr>
              <w:instrText xml:space="preserve"> PAGEREF _Toc230168222 \h </w:instrText>
            </w:r>
            <w:r>
              <w:rPr>
                <w:noProof/>
                <w:webHidden/>
              </w:rPr>
            </w:r>
            <w:r>
              <w:rPr>
                <w:noProof/>
                <w:webHidden/>
              </w:rPr>
              <w:fldChar w:fldCharType="separate"/>
            </w:r>
            <w:r>
              <w:rPr>
                <w:noProof/>
                <w:webHidden/>
              </w:rPr>
              <w:t>2</w:t>
            </w:r>
            <w:r>
              <w:rPr>
                <w:noProof/>
                <w:webHidden/>
              </w:rPr>
              <w:fldChar w:fldCharType="end"/>
            </w:r>
          </w:hyperlink>
        </w:p>
        <w:p w14:paraId="4E048C4A" w14:textId="77777777" w:rsidR="008E608A" w:rsidRDefault="008E608A" w:rsidP="008E608A">
          <w:pPr>
            <w:pStyle w:val="TM1"/>
            <w:tabs>
              <w:tab w:val="right" w:leader="dot" w:pos="9556"/>
            </w:tabs>
            <w:rPr>
              <w:rFonts w:asciiTheme="minorHAnsi" w:eastAsiaTheme="minorEastAsia" w:hAnsiTheme="minorHAnsi" w:cstheme="minorBidi"/>
              <w:noProof/>
            </w:rPr>
          </w:pPr>
          <w:hyperlink w:anchor="_Toc230168223" w:history="1">
            <w:r w:rsidRPr="0097383E">
              <w:rPr>
                <w:rStyle w:val="Lienhypertexte"/>
                <w:rFonts w:ascii="Tahoma" w:hAnsi="Tahoma" w:cs="Tahoma"/>
                <w:noProof/>
              </w:rPr>
              <w:t>Table des matières</w:t>
            </w:r>
            <w:r>
              <w:rPr>
                <w:noProof/>
                <w:webHidden/>
              </w:rPr>
              <w:tab/>
            </w:r>
            <w:r>
              <w:rPr>
                <w:noProof/>
                <w:webHidden/>
              </w:rPr>
              <w:fldChar w:fldCharType="begin"/>
            </w:r>
            <w:r>
              <w:rPr>
                <w:noProof/>
                <w:webHidden/>
              </w:rPr>
              <w:instrText xml:space="preserve"> PAGEREF _Toc230168223 \h </w:instrText>
            </w:r>
            <w:r>
              <w:rPr>
                <w:noProof/>
                <w:webHidden/>
              </w:rPr>
            </w:r>
            <w:r>
              <w:rPr>
                <w:noProof/>
                <w:webHidden/>
              </w:rPr>
              <w:fldChar w:fldCharType="separate"/>
            </w:r>
            <w:r>
              <w:rPr>
                <w:noProof/>
                <w:webHidden/>
              </w:rPr>
              <w:t>3</w:t>
            </w:r>
            <w:r>
              <w:rPr>
                <w:noProof/>
                <w:webHidden/>
              </w:rPr>
              <w:fldChar w:fldCharType="end"/>
            </w:r>
          </w:hyperlink>
        </w:p>
        <w:p w14:paraId="1F86CAA0" w14:textId="77777777" w:rsidR="008E608A" w:rsidRDefault="008E608A" w:rsidP="008E608A">
          <w:pPr>
            <w:pStyle w:val="TM1"/>
            <w:tabs>
              <w:tab w:val="right" w:leader="dot" w:pos="9556"/>
            </w:tabs>
            <w:rPr>
              <w:rFonts w:asciiTheme="minorHAnsi" w:eastAsiaTheme="minorEastAsia" w:hAnsiTheme="minorHAnsi" w:cstheme="minorBidi"/>
              <w:noProof/>
            </w:rPr>
          </w:pPr>
          <w:hyperlink w:anchor="_Toc230168224" w:history="1">
            <w:r w:rsidRPr="0097383E">
              <w:rPr>
                <w:rStyle w:val="Lienhypertexte"/>
                <w:rFonts w:ascii="Tahoma" w:hAnsi="Tahoma" w:cs="Tahoma"/>
                <w:noProof/>
              </w:rPr>
              <w:t>1. État des lieux de l'or issu de l'EMAPE au Sénégal</w:t>
            </w:r>
            <w:r>
              <w:rPr>
                <w:noProof/>
                <w:webHidden/>
              </w:rPr>
              <w:tab/>
            </w:r>
            <w:r>
              <w:rPr>
                <w:noProof/>
                <w:webHidden/>
              </w:rPr>
              <w:fldChar w:fldCharType="begin"/>
            </w:r>
            <w:r>
              <w:rPr>
                <w:noProof/>
                <w:webHidden/>
              </w:rPr>
              <w:instrText xml:space="preserve"> PAGEREF _Toc230168224 \h </w:instrText>
            </w:r>
            <w:r>
              <w:rPr>
                <w:noProof/>
                <w:webHidden/>
              </w:rPr>
            </w:r>
            <w:r>
              <w:rPr>
                <w:noProof/>
                <w:webHidden/>
              </w:rPr>
              <w:fldChar w:fldCharType="separate"/>
            </w:r>
            <w:r>
              <w:rPr>
                <w:noProof/>
                <w:webHidden/>
              </w:rPr>
              <w:t>5</w:t>
            </w:r>
            <w:r>
              <w:rPr>
                <w:noProof/>
                <w:webHidden/>
              </w:rPr>
              <w:fldChar w:fldCharType="end"/>
            </w:r>
          </w:hyperlink>
        </w:p>
        <w:p w14:paraId="11182A81"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25" w:history="1">
            <w:r w:rsidRPr="0097383E">
              <w:rPr>
                <w:rStyle w:val="Lienhypertexte"/>
                <w:rFonts w:ascii="Tahoma" w:hAnsi="Tahoma" w:cs="Tahoma"/>
                <w:noProof/>
              </w:rPr>
              <w:t>1.1 Cadre institutionnel</w:t>
            </w:r>
            <w:r>
              <w:rPr>
                <w:noProof/>
                <w:webHidden/>
              </w:rPr>
              <w:tab/>
            </w:r>
            <w:r>
              <w:rPr>
                <w:noProof/>
                <w:webHidden/>
              </w:rPr>
              <w:fldChar w:fldCharType="begin"/>
            </w:r>
            <w:r>
              <w:rPr>
                <w:noProof/>
                <w:webHidden/>
              </w:rPr>
              <w:instrText xml:space="preserve"> PAGEREF _Toc230168225 \h </w:instrText>
            </w:r>
            <w:r>
              <w:rPr>
                <w:noProof/>
                <w:webHidden/>
              </w:rPr>
            </w:r>
            <w:r>
              <w:rPr>
                <w:noProof/>
                <w:webHidden/>
              </w:rPr>
              <w:fldChar w:fldCharType="separate"/>
            </w:r>
            <w:r>
              <w:rPr>
                <w:noProof/>
                <w:webHidden/>
              </w:rPr>
              <w:t>5</w:t>
            </w:r>
            <w:r>
              <w:rPr>
                <w:noProof/>
                <w:webHidden/>
              </w:rPr>
              <w:fldChar w:fldCharType="end"/>
            </w:r>
          </w:hyperlink>
        </w:p>
        <w:p w14:paraId="67234A30"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26" w:history="1">
            <w:r w:rsidRPr="0097383E">
              <w:rPr>
                <w:rStyle w:val="Lienhypertexte"/>
                <w:rFonts w:ascii="Tahoma" w:hAnsi="Tahoma" w:cs="Tahoma"/>
                <w:noProof/>
              </w:rPr>
              <w:t>1.2 Organisation du sous-secteur de l'EMAPE</w:t>
            </w:r>
            <w:r>
              <w:rPr>
                <w:noProof/>
                <w:webHidden/>
              </w:rPr>
              <w:tab/>
            </w:r>
            <w:r>
              <w:rPr>
                <w:noProof/>
                <w:webHidden/>
              </w:rPr>
              <w:fldChar w:fldCharType="begin"/>
            </w:r>
            <w:r>
              <w:rPr>
                <w:noProof/>
                <w:webHidden/>
              </w:rPr>
              <w:instrText xml:space="preserve"> PAGEREF _Toc230168226 \h </w:instrText>
            </w:r>
            <w:r>
              <w:rPr>
                <w:noProof/>
                <w:webHidden/>
              </w:rPr>
            </w:r>
            <w:r>
              <w:rPr>
                <w:noProof/>
                <w:webHidden/>
              </w:rPr>
              <w:fldChar w:fldCharType="separate"/>
            </w:r>
            <w:r>
              <w:rPr>
                <w:noProof/>
                <w:webHidden/>
              </w:rPr>
              <w:t>5</w:t>
            </w:r>
            <w:r>
              <w:rPr>
                <w:noProof/>
                <w:webHidden/>
              </w:rPr>
              <w:fldChar w:fldCharType="end"/>
            </w:r>
          </w:hyperlink>
        </w:p>
        <w:p w14:paraId="4FE1FD89"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27" w:history="1">
            <w:r w:rsidRPr="0097383E">
              <w:rPr>
                <w:rStyle w:val="Lienhypertexte"/>
                <w:rFonts w:ascii="Tahoma" w:hAnsi="Tahoma" w:cs="Tahoma"/>
                <w:noProof/>
              </w:rPr>
              <w:t>1.3 Situation des titres miniers de l'EMAPE</w:t>
            </w:r>
            <w:r>
              <w:rPr>
                <w:noProof/>
                <w:webHidden/>
              </w:rPr>
              <w:tab/>
            </w:r>
            <w:r>
              <w:rPr>
                <w:noProof/>
                <w:webHidden/>
              </w:rPr>
              <w:fldChar w:fldCharType="begin"/>
            </w:r>
            <w:r>
              <w:rPr>
                <w:noProof/>
                <w:webHidden/>
              </w:rPr>
              <w:instrText xml:space="preserve"> PAGEREF _Toc230168227 \h </w:instrText>
            </w:r>
            <w:r>
              <w:rPr>
                <w:noProof/>
                <w:webHidden/>
              </w:rPr>
            </w:r>
            <w:r>
              <w:rPr>
                <w:noProof/>
                <w:webHidden/>
              </w:rPr>
              <w:fldChar w:fldCharType="separate"/>
            </w:r>
            <w:r>
              <w:rPr>
                <w:noProof/>
                <w:webHidden/>
              </w:rPr>
              <w:t>6</w:t>
            </w:r>
            <w:r>
              <w:rPr>
                <w:noProof/>
                <w:webHidden/>
              </w:rPr>
              <w:fldChar w:fldCharType="end"/>
            </w:r>
          </w:hyperlink>
        </w:p>
        <w:p w14:paraId="2BC85267"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28" w:history="1">
            <w:r w:rsidRPr="0097383E">
              <w:rPr>
                <w:rStyle w:val="Lienhypertexte"/>
                <w:rFonts w:ascii="Tahoma" w:hAnsi="Tahoma" w:cs="Tahoma"/>
                <w:noProof/>
              </w:rPr>
              <w:t>1.4 Production d'or artisanal déclarée</w:t>
            </w:r>
            <w:r>
              <w:rPr>
                <w:noProof/>
                <w:webHidden/>
              </w:rPr>
              <w:tab/>
            </w:r>
            <w:r>
              <w:rPr>
                <w:noProof/>
                <w:webHidden/>
              </w:rPr>
              <w:fldChar w:fldCharType="begin"/>
            </w:r>
            <w:r>
              <w:rPr>
                <w:noProof/>
                <w:webHidden/>
              </w:rPr>
              <w:instrText xml:space="preserve"> PAGEREF _Toc230168228 \h </w:instrText>
            </w:r>
            <w:r>
              <w:rPr>
                <w:noProof/>
                <w:webHidden/>
              </w:rPr>
            </w:r>
            <w:r>
              <w:rPr>
                <w:noProof/>
                <w:webHidden/>
              </w:rPr>
              <w:fldChar w:fldCharType="separate"/>
            </w:r>
            <w:r>
              <w:rPr>
                <w:noProof/>
                <w:webHidden/>
              </w:rPr>
              <w:t>6</w:t>
            </w:r>
            <w:r>
              <w:rPr>
                <w:noProof/>
                <w:webHidden/>
              </w:rPr>
              <w:fldChar w:fldCharType="end"/>
            </w:r>
          </w:hyperlink>
        </w:p>
        <w:p w14:paraId="3F0E06E5"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29" w:history="1">
            <w:r w:rsidRPr="0097383E">
              <w:rPr>
                <w:rStyle w:val="Lienhypertexte"/>
                <w:rFonts w:ascii="Tahoma" w:hAnsi="Tahoma" w:cs="Tahoma"/>
                <w:noProof/>
              </w:rPr>
              <w:t>1.5 Circuit de commercialisation de l'or artisanal</w:t>
            </w:r>
            <w:r>
              <w:rPr>
                <w:noProof/>
                <w:webHidden/>
              </w:rPr>
              <w:tab/>
            </w:r>
            <w:r>
              <w:rPr>
                <w:noProof/>
                <w:webHidden/>
              </w:rPr>
              <w:fldChar w:fldCharType="begin"/>
            </w:r>
            <w:r>
              <w:rPr>
                <w:noProof/>
                <w:webHidden/>
              </w:rPr>
              <w:instrText xml:space="preserve"> PAGEREF _Toc230168229 \h </w:instrText>
            </w:r>
            <w:r>
              <w:rPr>
                <w:noProof/>
                <w:webHidden/>
              </w:rPr>
            </w:r>
            <w:r>
              <w:rPr>
                <w:noProof/>
                <w:webHidden/>
              </w:rPr>
              <w:fldChar w:fldCharType="separate"/>
            </w:r>
            <w:r>
              <w:rPr>
                <w:noProof/>
                <w:webHidden/>
              </w:rPr>
              <w:t>7</w:t>
            </w:r>
            <w:r>
              <w:rPr>
                <w:noProof/>
                <w:webHidden/>
              </w:rPr>
              <w:fldChar w:fldCharType="end"/>
            </w:r>
          </w:hyperlink>
        </w:p>
        <w:p w14:paraId="182B51FD"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30" w:history="1">
            <w:r w:rsidRPr="0097383E">
              <w:rPr>
                <w:rStyle w:val="Lienhypertexte"/>
                <w:rFonts w:ascii="Tahoma" w:hAnsi="Tahoma" w:cs="Tahoma"/>
                <w:noProof/>
              </w:rPr>
              <w:t>1.6 Exportation de l'or artisanal</w:t>
            </w:r>
            <w:r>
              <w:rPr>
                <w:noProof/>
                <w:webHidden/>
              </w:rPr>
              <w:tab/>
            </w:r>
            <w:r>
              <w:rPr>
                <w:noProof/>
                <w:webHidden/>
              </w:rPr>
              <w:fldChar w:fldCharType="begin"/>
            </w:r>
            <w:r>
              <w:rPr>
                <w:noProof/>
                <w:webHidden/>
              </w:rPr>
              <w:instrText xml:space="preserve"> PAGEREF _Toc230168230 \h </w:instrText>
            </w:r>
            <w:r>
              <w:rPr>
                <w:noProof/>
                <w:webHidden/>
              </w:rPr>
            </w:r>
            <w:r>
              <w:rPr>
                <w:noProof/>
                <w:webHidden/>
              </w:rPr>
              <w:fldChar w:fldCharType="separate"/>
            </w:r>
            <w:r>
              <w:rPr>
                <w:noProof/>
                <w:webHidden/>
              </w:rPr>
              <w:t>8</w:t>
            </w:r>
            <w:r>
              <w:rPr>
                <w:noProof/>
                <w:webHidden/>
              </w:rPr>
              <w:fldChar w:fldCharType="end"/>
            </w:r>
          </w:hyperlink>
        </w:p>
        <w:p w14:paraId="50F525BC" w14:textId="77777777" w:rsidR="008E608A" w:rsidRDefault="008E608A" w:rsidP="008E608A">
          <w:pPr>
            <w:pStyle w:val="TM1"/>
            <w:tabs>
              <w:tab w:val="right" w:leader="dot" w:pos="9556"/>
            </w:tabs>
            <w:rPr>
              <w:rFonts w:asciiTheme="minorHAnsi" w:eastAsiaTheme="minorEastAsia" w:hAnsiTheme="minorHAnsi" w:cstheme="minorBidi"/>
              <w:noProof/>
            </w:rPr>
          </w:pPr>
          <w:hyperlink w:anchor="_Toc230168231" w:history="1">
            <w:r w:rsidRPr="0097383E">
              <w:rPr>
                <w:rStyle w:val="Lienhypertexte"/>
                <w:rFonts w:ascii="Tahoma" w:hAnsi="Tahoma" w:cs="Tahoma"/>
                <w:noProof/>
              </w:rPr>
              <w:t>5. Problématique et obstacles liés à la publication des données EMAPE</w:t>
            </w:r>
            <w:r>
              <w:rPr>
                <w:noProof/>
                <w:webHidden/>
              </w:rPr>
              <w:tab/>
            </w:r>
            <w:r>
              <w:rPr>
                <w:noProof/>
                <w:webHidden/>
              </w:rPr>
              <w:fldChar w:fldCharType="begin"/>
            </w:r>
            <w:r>
              <w:rPr>
                <w:noProof/>
                <w:webHidden/>
              </w:rPr>
              <w:instrText xml:space="preserve"> PAGEREF _Toc230168231 \h </w:instrText>
            </w:r>
            <w:r>
              <w:rPr>
                <w:noProof/>
                <w:webHidden/>
              </w:rPr>
            </w:r>
            <w:r>
              <w:rPr>
                <w:noProof/>
                <w:webHidden/>
              </w:rPr>
              <w:fldChar w:fldCharType="separate"/>
            </w:r>
            <w:r>
              <w:rPr>
                <w:noProof/>
                <w:webHidden/>
              </w:rPr>
              <w:t>8</w:t>
            </w:r>
            <w:r>
              <w:rPr>
                <w:noProof/>
                <w:webHidden/>
              </w:rPr>
              <w:fldChar w:fldCharType="end"/>
            </w:r>
          </w:hyperlink>
        </w:p>
        <w:p w14:paraId="67B57A6E"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32" w:history="1">
            <w:r w:rsidRPr="0097383E">
              <w:rPr>
                <w:rStyle w:val="Lienhypertexte"/>
                <w:rFonts w:ascii="Tahoma" w:hAnsi="Tahoma" w:cs="Tahoma"/>
                <w:noProof/>
              </w:rPr>
              <w:t>5.1 Insuffisance structurelle des données fiables</w:t>
            </w:r>
            <w:r>
              <w:rPr>
                <w:noProof/>
                <w:webHidden/>
              </w:rPr>
              <w:tab/>
            </w:r>
            <w:r>
              <w:rPr>
                <w:noProof/>
                <w:webHidden/>
              </w:rPr>
              <w:fldChar w:fldCharType="begin"/>
            </w:r>
            <w:r>
              <w:rPr>
                <w:noProof/>
                <w:webHidden/>
              </w:rPr>
              <w:instrText xml:space="preserve"> PAGEREF _Toc230168232 \h </w:instrText>
            </w:r>
            <w:r>
              <w:rPr>
                <w:noProof/>
                <w:webHidden/>
              </w:rPr>
            </w:r>
            <w:r>
              <w:rPr>
                <w:noProof/>
                <w:webHidden/>
              </w:rPr>
              <w:fldChar w:fldCharType="separate"/>
            </w:r>
            <w:r>
              <w:rPr>
                <w:noProof/>
                <w:webHidden/>
              </w:rPr>
              <w:t>8</w:t>
            </w:r>
            <w:r>
              <w:rPr>
                <w:noProof/>
                <w:webHidden/>
              </w:rPr>
              <w:fldChar w:fldCharType="end"/>
            </w:r>
          </w:hyperlink>
        </w:p>
        <w:p w14:paraId="3826C5B2"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33" w:history="1">
            <w:r w:rsidRPr="0097383E">
              <w:rPr>
                <w:rStyle w:val="Lienhypertexte"/>
                <w:rFonts w:ascii="Tahoma" w:hAnsi="Tahoma" w:cs="Tahoma"/>
                <w:noProof/>
              </w:rPr>
              <w:t>5.2 Faible traçabilité de l'or artisanal</w:t>
            </w:r>
            <w:r>
              <w:rPr>
                <w:noProof/>
                <w:webHidden/>
              </w:rPr>
              <w:tab/>
            </w:r>
            <w:r>
              <w:rPr>
                <w:noProof/>
                <w:webHidden/>
              </w:rPr>
              <w:fldChar w:fldCharType="begin"/>
            </w:r>
            <w:r>
              <w:rPr>
                <w:noProof/>
                <w:webHidden/>
              </w:rPr>
              <w:instrText xml:space="preserve"> PAGEREF _Toc230168233 \h </w:instrText>
            </w:r>
            <w:r>
              <w:rPr>
                <w:noProof/>
                <w:webHidden/>
              </w:rPr>
            </w:r>
            <w:r>
              <w:rPr>
                <w:noProof/>
                <w:webHidden/>
              </w:rPr>
              <w:fldChar w:fldCharType="separate"/>
            </w:r>
            <w:r>
              <w:rPr>
                <w:noProof/>
                <w:webHidden/>
              </w:rPr>
              <w:t>9</w:t>
            </w:r>
            <w:r>
              <w:rPr>
                <w:noProof/>
                <w:webHidden/>
              </w:rPr>
              <w:fldChar w:fldCharType="end"/>
            </w:r>
          </w:hyperlink>
        </w:p>
        <w:p w14:paraId="427B218B"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34" w:history="1">
            <w:r w:rsidRPr="0097383E">
              <w:rPr>
                <w:rStyle w:val="Lienhypertexte"/>
                <w:rFonts w:ascii="Tahoma" w:hAnsi="Tahoma" w:cs="Tahoma"/>
                <w:noProof/>
              </w:rPr>
              <w:t>5.3 Importance des exportations informelles et transit malien</w:t>
            </w:r>
            <w:r>
              <w:rPr>
                <w:noProof/>
                <w:webHidden/>
              </w:rPr>
              <w:tab/>
            </w:r>
            <w:r>
              <w:rPr>
                <w:noProof/>
                <w:webHidden/>
              </w:rPr>
              <w:fldChar w:fldCharType="begin"/>
            </w:r>
            <w:r>
              <w:rPr>
                <w:noProof/>
                <w:webHidden/>
              </w:rPr>
              <w:instrText xml:space="preserve"> PAGEREF _Toc230168234 \h </w:instrText>
            </w:r>
            <w:r>
              <w:rPr>
                <w:noProof/>
                <w:webHidden/>
              </w:rPr>
            </w:r>
            <w:r>
              <w:rPr>
                <w:noProof/>
                <w:webHidden/>
              </w:rPr>
              <w:fldChar w:fldCharType="separate"/>
            </w:r>
            <w:r>
              <w:rPr>
                <w:noProof/>
                <w:webHidden/>
              </w:rPr>
              <w:t>9</w:t>
            </w:r>
            <w:r>
              <w:rPr>
                <w:noProof/>
                <w:webHidden/>
              </w:rPr>
              <w:fldChar w:fldCharType="end"/>
            </w:r>
          </w:hyperlink>
        </w:p>
        <w:p w14:paraId="08C2B036"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35" w:history="1">
            <w:r w:rsidRPr="0097383E">
              <w:rPr>
                <w:rStyle w:val="Lienhypertexte"/>
                <w:rFonts w:ascii="Tahoma" w:hAnsi="Tahoma" w:cs="Tahoma"/>
                <w:noProof/>
              </w:rPr>
              <w:t>5.4 Difficultés de suivi des pays de destination</w:t>
            </w:r>
            <w:r>
              <w:rPr>
                <w:noProof/>
                <w:webHidden/>
              </w:rPr>
              <w:tab/>
            </w:r>
            <w:r>
              <w:rPr>
                <w:noProof/>
                <w:webHidden/>
              </w:rPr>
              <w:fldChar w:fldCharType="begin"/>
            </w:r>
            <w:r>
              <w:rPr>
                <w:noProof/>
                <w:webHidden/>
              </w:rPr>
              <w:instrText xml:space="preserve"> PAGEREF _Toc230168235 \h </w:instrText>
            </w:r>
            <w:r>
              <w:rPr>
                <w:noProof/>
                <w:webHidden/>
              </w:rPr>
            </w:r>
            <w:r>
              <w:rPr>
                <w:noProof/>
                <w:webHidden/>
              </w:rPr>
              <w:fldChar w:fldCharType="separate"/>
            </w:r>
            <w:r>
              <w:rPr>
                <w:noProof/>
                <w:webHidden/>
              </w:rPr>
              <w:t>9</w:t>
            </w:r>
            <w:r>
              <w:rPr>
                <w:noProof/>
                <w:webHidden/>
              </w:rPr>
              <w:fldChar w:fldCharType="end"/>
            </w:r>
          </w:hyperlink>
        </w:p>
        <w:p w14:paraId="2FEEAB82"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36" w:history="1">
            <w:r w:rsidRPr="0097383E">
              <w:rPr>
                <w:rStyle w:val="Lienhypertexte"/>
                <w:rFonts w:ascii="Tahoma" w:hAnsi="Tahoma" w:cs="Tahoma"/>
                <w:noProof/>
              </w:rPr>
              <w:t>5.5 Absence de publication systématique des données</w:t>
            </w:r>
            <w:r>
              <w:rPr>
                <w:noProof/>
                <w:webHidden/>
              </w:rPr>
              <w:tab/>
            </w:r>
            <w:r>
              <w:rPr>
                <w:noProof/>
                <w:webHidden/>
              </w:rPr>
              <w:fldChar w:fldCharType="begin"/>
            </w:r>
            <w:r>
              <w:rPr>
                <w:noProof/>
                <w:webHidden/>
              </w:rPr>
              <w:instrText xml:space="preserve"> PAGEREF _Toc230168236 \h </w:instrText>
            </w:r>
            <w:r>
              <w:rPr>
                <w:noProof/>
                <w:webHidden/>
              </w:rPr>
            </w:r>
            <w:r>
              <w:rPr>
                <w:noProof/>
                <w:webHidden/>
              </w:rPr>
              <w:fldChar w:fldCharType="separate"/>
            </w:r>
            <w:r>
              <w:rPr>
                <w:noProof/>
                <w:webHidden/>
              </w:rPr>
              <w:t>10</w:t>
            </w:r>
            <w:r>
              <w:rPr>
                <w:noProof/>
                <w:webHidden/>
              </w:rPr>
              <w:fldChar w:fldCharType="end"/>
            </w:r>
          </w:hyperlink>
        </w:p>
        <w:p w14:paraId="7236744A"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37" w:history="1">
            <w:r w:rsidRPr="0097383E">
              <w:rPr>
                <w:rStyle w:val="Lienhypertexte"/>
                <w:rFonts w:ascii="Tahoma" w:hAnsi="Tahoma" w:cs="Tahoma"/>
                <w:noProof/>
              </w:rPr>
              <w:t>5.6 Enjeux pour l'État : recettes, statistiques et transparence ITIE</w:t>
            </w:r>
            <w:r>
              <w:rPr>
                <w:noProof/>
                <w:webHidden/>
              </w:rPr>
              <w:tab/>
            </w:r>
            <w:r>
              <w:rPr>
                <w:noProof/>
                <w:webHidden/>
              </w:rPr>
              <w:fldChar w:fldCharType="begin"/>
            </w:r>
            <w:r>
              <w:rPr>
                <w:noProof/>
                <w:webHidden/>
              </w:rPr>
              <w:instrText xml:space="preserve"> PAGEREF _Toc230168237 \h </w:instrText>
            </w:r>
            <w:r>
              <w:rPr>
                <w:noProof/>
                <w:webHidden/>
              </w:rPr>
            </w:r>
            <w:r>
              <w:rPr>
                <w:noProof/>
                <w:webHidden/>
              </w:rPr>
              <w:fldChar w:fldCharType="separate"/>
            </w:r>
            <w:r>
              <w:rPr>
                <w:noProof/>
                <w:webHidden/>
              </w:rPr>
              <w:t>10</w:t>
            </w:r>
            <w:r>
              <w:rPr>
                <w:noProof/>
                <w:webHidden/>
              </w:rPr>
              <w:fldChar w:fldCharType="end"/>
            </w:r>
          </w:hyperlink>
        </w:p>
        <w:p w14:paraId="2E182176" w14:textId="77777777" w:rsidR="008E608A" w:rsidRDefault="008E608A" w:rsidP="008E608A">
          <w:pPr>
            <w:pStyle w:val="TM1"/>
            <w:tabs>
              <w:tab w:val="right" w:leader="dot" w:pos="9556"/>
            </w:tabs>
            <w:rPr>
              <w:rFonts w:asciiTheme="minorHAnsi" w:eastAsiaTheme="minorEastAsia" w:hAnsiTheme="minorHAnsi" w:cstheme="minorBidi"/>
              <w:noProof/>
            </w:rPr>
          </w:pPr>
          <w:hyperlink w:anchor="_Toc230168238" w:history="1">
            <w:r w:rsidRPr="0097383E">
              <w:rPr>
                <w:rStyle w:val="Lienhypertexte"/>
                <w:rFonts w:ascii="Tahoma" w:hAnsi="Tahoma" w:cs="Tahoma"/>
                <w:noProof/>
              </w:rPr>
              <w:t>6. Obstacles à la publication exhaustive des données EMAPE</w:t>
            </w:r>
            <w:r>
              <w:rPr>
                <w:noProof/>
                <w:webHidden/>
              </w:rPr>
              <w:tab/>
            </w:r>
            <w:r>
              <w:rPr>
                <w:noProof/>
                <w:webHidden/>
              </w:rPr>
              <w:fldChar w:fldCharType="begin"/>
            </w:r>
            <w:r>
              <w:rPr>
                <w:noProof/>
                <w:webHidden/>
              </w:rPr>
              <w:instrText xml:space="preserve"> PAGEREF _Toc230168238 \h </w:instrText>
            </w:r>
            <w:r>
              <w:rPr>
                <w:noProof/>
                <w:webHidden/>
              </w:rPr>
            </w:r>
            <w:r>
              <w:rPr>
                <w:noProof/>
                <w:webHidden/>
              </w:rPr>
              <w:fldChar w:fldCharType="separate"/>
            </w:r>
            <w:r>
              <w:rPr>
                <w:noProof/>
                <w:webHidden/>
              </w:rPr>
              <w:t>11</w:t>
            </w:r>
            <w:r>
              <w:rPr>
                <w:noProof/>
                <w:webHidden/>
              </w:rPr>
              <w:fldChar w:fldCharType="end"/>
            </w:r>
          </w:hyperlink>
        </w:p>
        <w:p w14:paraId="6EC878F7"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39" w:history="1">
            <w:r w:rsidRPr="0097383E">
              <w:rPr>
                <w:rStyle w:val="Lienhypertexte"/>
                <w:rFonts w:ascii="Tahoma" w:hAnsi="Tahoma" w:cs="Tahoma"/>
                <w:noProof/>
              </w:rPr>
              <w:t>6.1 Obstacles institutionnels</w:t>
            </w:r>
            <w:r>
              <w:rPr>
                <w:noProof/>
                <w:webHidden/>
              </w:rPr>
              <w:tab/>
            </w:r>
            <w:r>
              <w:rPr>
                <w:noProof/>
                <w:webHidden/>
              </w:rPr>
              <w:fldChar w:fldCharType="begin"/>
            </w:r>
            <w:r>
              <w:rPr>
                <w:noProof/>
                <w:webHidden/>
              </w:rPr>
              <w:instrText xml:space="preserve"> PAGEREF _Toc230168239 \h </w:instrText>
            </w:r>
            <w:r>
              <w:rPr>
                <w:noProof/>
                <w:webHidden/>
              </w:rPr>
            </w:r>
            <w:r>
              <w:rPr>
                <w:noProof/>
                <w:webHidden/>
              </w:rPr>
              <w:fldChar w:fldCharType="separate"/>
            </w:r>
            <w:r>
              <w:rPr>
                <w:noProof/>
                <w:webHidden/>
              </w:rPr>
              <w:t>11</w:t>
            </w:r>
            <w:r>
              <w:rPr>
                <w:noProof/>
                <w:webHidden/>
              </w:rPr>
              <w:fldChar w:fldCharType="end"/>
            </w:r>
          </w:hyperlink>
        </w:p>
        <w:p w14:paraId="1BD5986A"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40" w:history="1">
            <w:r w:rsidRPr="0097383E">
              <w:rPr>
                <w:rStyle w:val="Lienhypertexte"/>
                <w:rFonts w:ascii="Tahoma" w:hAnsi="Tahoma" w:cs="Tahoma"/>
                <w:noProof/>
              </w:rPr>
              <w:t>6.2 Obstacles liés à la collecte des données</w:t>
            </w:r>
            <w:r>
              <w:rPr>
                <w:noProof/>
                <w:webHidden/>
              </w:rPr>
              <w:tab/>
            </w:r>
            <w:r>
              <w:rPr>
                <w:noProof/>
                <w:webHidden/>
              </w:rPr>
              <w:fldChar w:fldCharType="begin"/>
            </w:r>
            <w:r>
              <w:rPr>
                <w:noProof/>
                <w:webHidden/>
              </w:rPr>
              <w:instrText xml:space="preserve"> PAGEREF _Toc230168240 \h </w:instrText>
            </w:r>
            <w:r>
              <w:rPr>
                <w:noProof/>
                <w:webHidden/>
              </w:rPr>
            </w:r>
            <w:r>
              <w:rPr>
                <w:noProof/>
                <w:webHidden/>
              </w:rPr>
              <w:fldChar w:fldCharType="separate"/>
            </w:r>
            <w:r>
              <w:rPr>
                <w:noProof/>
                <w:webHidden/>
              </w:rPr>
              <w:t>11</w:t>
            </w:r>
            <w:r>
              <w:rPr>
                <w:noProof/>
                <w:webHidden/>
              </w:rPr>
              <w:fldChar w:fldCharType="end"/>
            </w:r>
          </w:hyperlink>
        </w:p>
        <w:p w14:paraId="6C44D792"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41" w:history="1">
            <w:r w:rsidRPr="0097383E">
              <w:rPr>
                <w:rStyle w:val="Lienhypertexte"/>
                <w:rFonts w:ascii="Tahoma" w:hAnsi="Tahoma" w:cs="Tahoma"/>
                <w:noProof/>
              </w:rPr>
              <w:t>6.3 Obstacles liés à la commercialisation</w:t>
            </w:r>
            <w:r>
              <w:rPr>
                <w:noProof/>
                <w:webHidden/>
              </w:rPr>
              <w:tab/>
            </w:r>
            <w:r>
              <w:rPr>
                <w:noProof/>
                <w:webHidden/>
              </w:rPr>
              <w:fldChar w:fldCharType="begin"/>
            </w:r>
            <w:r>
              <w:rPr>
                <w:noProof/>
                <w:webHidden/>
              </w:rPr>
              <w:instrText xml:space="preserve"> PAGEREF _Toc230168241 \h </w:instrText>
            </w:r>
            <w:r>
              <w:rPr>
                <w:noProof/>
                <w:webHidden/>
              </w:rPr>
            </w:r>
            <w:r>
              <w:rPr>
                <w:noProof/>
                <w:webHidden/>
              </w:rPr>
              <w:fldChar w:fldCharType="separate"/>
            </w:r>
            <w:r>
              <w:rPr>
                <w:noProof/>
                <w:webHidden/>
              </w:rPr>
              <w:t>11</w:t>
            </w:r>
            <w:r>
              <w:rPr>
                <w:noProof/>
                <w:webHidden/>
              </w:rPr>
              <w:fldChar w:fldCharType="end"/>
            </w:r>
          </w:hyperlink>
        </w:p>
        <w:p w14:paraId="280EFDAB"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42" w:history="1">
            <w:r w:rsidRPr="0097383E">
              <w:rPr>
                <w:rStyle w:val="Lienhypertexte"/>
                <w:rFonts w:ascii="Tahoma" w:hAnsi="Tahoma" w:cs="Tahoma"/>
                <w:noProof/>
              </w:rPr>
              <w:t>6.4 Obstacles douaniers et statistiques du commerce extérieur</w:t>
            </w:r>
            <w:r>
              <w:rPr>
                <w:noProof/>
                <w:webHidden/>
              </w:rPr>
              <w:tab/>
            </w:r>
            <w:r>
              <w:rPr>
                <w:noProof/>
                <w:webHidden/>
              </w:rPr>
              <w:fldChar w:fldCharType="begin"/>
            </w:r>
            <w:r>
              <w:rPr>
                <w:noProof/>
                <w:webHidden/>
              </w:rPr>
              <w:instrText xml:space="preserve"> PAGEREF _Toc230168242 \h </w:instrText>
            </w:r>
            <w:r>
              <w:rPr>
                <w:noProof/>
                <w:webHidden/>
              </w:rPr>
            </w:r>
            <w:r>
              <w:rPr>
                <w:noProof/>
                <w:webHidden/>
              </w:rPr>
              <w:fldChar w:fldCharType="separate"/>
            </w:r>
            <w:r>
              <w:rPr>
                <w:noProof/>
                <w:webHidden/>
              </w:rPr>
              <w:t>12</w:t>
            </w:r>
            <w:r>
              <w:rPr>
                <w:noProof/>
                <w:webHidden/>
              </w:rPr>
              <w:fldChar w:fldCharType="end"/>
            </w:r>
          </w:hyperlink>
        </w:p>
        <w:p w14:paraId="622645E3"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43" w:history="1">
            <w:r w:rsidRPr="0097383E">
              <w:rPr>
                <w:rStyle w:val="Lienhypertexte"/>
                <w:rFonts w:ascii="Tahoma" w:hAnsi="Tahoma" w:cs="Tahoma"/>
                <w:noProof/>
              </w:rPr>
              <w:t>6.5 Obstacles liés aux exportations informelles</w:t>
            </w:r>
            <w:r>
              <w:rPr>
                <w:noProof/>
                <w:webHidden/>
              </w:rPr>
              <w:tab/>
            </w:r>
            <w:r>
              <w:rPr>
                <w:noProof/>
                <w:webHidden/>
              </w:rPr>
              <w:fldChar w:fldCharType="begin"/>
            </w:r>
            <w:r>
              <w:rPr>
                <w:noProof/>
                <w:webHidden/>
              </w:rPr>
              <w:instrText xml:space="preserve"> PAGEREF _Toc230168243 \h </w:instrText>
            </w:r>
            <w:r>
              <w:rPr>
                <w:noProof/>
                <w:webHidden/>
              </w:rPr>
            </w:r>
            <w:r>
              <w:rPr>
                <w:noProof/>
                <w:webHidden/>
              </w:rPr>
              <w:fldChar w:fldCharType="separate"/>
            </w:r>
            <w:r>
              <w:rPr>
                <w:noProof/>
                <w:webHidden/>
              </w:rPr>
              <w:t>12</w:t>
            </w:r>
            <w:r>
              <w:rPr>
                <w:noProof/>
                <w:webHidden/>
              </w:rPr>
              <w:fldChar w:fldCharType="end"/>
            </w:r>
          </w:hyperlink>
        </w:p>
        <w:p w14:paraId="7153FB37"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44" w:history="1">
            <w:r w:rsidRPr="0097383E">
              <w:rPr>
                <w:rStyle w:val="Lienhypertexte"/>
                <w:rFonts w:ascii="Tahoma" w:hAnsi="Tahoma" w:cs="Tahoma"/>
                <w:noProof/>
              </w:rPr>
              <w:t>6.6 Obstacles techniques et statistiques</w:t>
            </w:r>
            <w:r>
              <w:rPr>
                <w:noProof/>
                <w:webHidden/>
              </w:rPr>
              <w:tab/>
            </w:r>
            <w:r>
              <w:rPr>
                <w:noProof/>
                <w:webHidden/>
              </w:rPr>
              <w:fldChar w:fldCharType="begin"/>
            </w:r>
            <w:r>
              <w:rPr>
                <w:noProof/>
                <w:webHidden/>
              </w:rPr>
              <w:instrText xml:space="preserve"> PAGEREF _Toc230168244 \h </w:instrText>
            </w:r>
            <w:r>
              <w:rPr>
                <w:noProof/>
                <w:webHidden/>
              </w:rPr>
            </w:r>
            <w:r>
              <w:rPr>
                <w:noProof/>
                <w:webHidden/>
              </w:rPr>
              <w:fldChar w:fldCharType="separate"/>
            </w:r>
            <w:r>
              <w:rPr>
                <w:noProof/>
                <w:webHidden/>
              </w:rPr>
              <w:t>12</w:t>
            </w:r>
            <w:r>
              <w:rPr>
                <w:noProof/>
                <w:webHidden/>
              </w:rPr>
              <w:fldChar w:fldCharType="end"/>
            </w:r>
          </w:hyperlink>
        </w:p>
        <w:p w14:paraId="3DD96072" w14:textId="77777777" w:rsidR="008E608A" w:rsidRDefault="008E608A" w:rsidP="008E608A">
          <w:pPr>
            <w:pStyle w:val="TM1"/>
            <w:tabs>
              <w:tab w:val="right" w:leader="dot" w:pos="9556"/>
            </w:tabs>
            <w:rPr>
              <w:rFonts w:asciiTheme="minorHAnsi" w:eastAsiaTheme="minorEastAsia" w:hAnsiTheme="minorHAnsi" w:cstheme="minorBidi"/>
              <w:noProof/>
            </w:rPr>
          </w:pPr>
          <w:hyperlink w:anchor="_Toc230168245" w:history="1">
            <w:r w:rsidRPr="0097383E">
              <w:rPr>
                <w:rStyle w:val="Lienhypertexte"/>
                <w:rFonts w:ascii="Tahoma" w:hAnsi="Tahoma" w:cs="Tahoma"/>
                <w:noProof/>
              </w:rPr>
              <w:t>7. Analyse miroir</w:t>
            </w:r>
            <w:r>
              <w:rPr>
                <w:noProof/>
                <w:webHidden/>
              </w:rPr>
              <w:tab/>
            </w:r>
            <w:r>
              <w:rPr>
                <w:noProof/>
                <w:webHidden/>
              </w:rPr>
              <w:fldChar w:fldCharType="begin"/>
            </w:r>
            <w:r>
              <w:rPr>
                <w:noProof/>
                <w:webHidden/>
              </w:rPr>
              <w:instrText xml:space="preserve"> PAGEREF _Toc230168245 \h </w:instrText>
            </w:r>
            <w:r>
              <w:rPr>
                <w:noProof/>
                <w:webHidden/>
              </w:rPr>
            </w:r>
            <w:r>
              <w:rPr>
                <w:noProof/>
                <w:webHidden/>
              </w:rPr>
              <w:fldChar w:fldCharType="separate"/>
            </w:r>
            <w:r>
              <w:rPr>
                <w:noProof/>
                <w:webHidden/>
              </w:rPr>
              <w:t>13</w:t>
            </w:r>
            <w:r>
              <w:rPr>
                <w:noProof/>
                <w:webHidden/>
              </w:rPr>
              <w:fldChar w:fldCharType="end"/>
            </w:r>
          </w:hyperlink>
        </w:p>
        <w:p w14:paraId="5755CBCE"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46" w:history="1">
            <w:r w:rsidRPr="0097383E">
              <w:rPr>
                <w:rStyle w:val="Lienhypertexte"/>
                <w:rFonts w:ascii="Tahoma" w:hAnsi="Tahoma" w:cs="Tahoma"/>
                <w:noProof/>
              </w:rPr>
              <w:t>7.1. La plateforme UN Comtrade</w:t>
            </w:r>
            <w:r>
              <w:rPr>
                <w:noProof/>
                <w:webHidden/>
              </w:rPr>
              <w:tab/>
            </w:r>
            <w:r>
              <w:rPr>
                <w:noProof/>
                <w:webHidden/>
              </w:rPr>
              <w:fldChar w:fldCharType="begin"/>
            </w:r>
            <w:r>
              <w:rPr>
                <w:noProof/>
                <w:webHidden/>
              </w:rPr>
              <w:instrText xml:space="preserve"> PAGEREF _Toc230168246 \h </w:instrText>
            </w:r>
            <w:r>
              <w:rPr>
                <w:noProof/>
                <w:webHidden/>
              </w:rPr>
            </w:r>
            <w:r>
              <w:rPr>
                <w:noProof/>
                <w:webHidden/>
              </w:rPr>
              <w:fldChar w:fldCharType="separate"/>
            </w:r>
            <w:r>
              <w:rPr>
                <w:noProof/>
                <w:webHidden/>
              </w:rPr>
              <w:t>13</w:t>
            </w:r>
            <w:r>
              <w:rPr>
                <w:noProof/>
                <w:webHidden/>
              </w:rPr>
              <w:fldChar w:fldCharType="end"/>
            </w:r>
          </w:hyperlink>
        </w:p>
        <w:p w14:paraId="1178883D"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47" w:history="1">
            <w:r w:rsidRPr="0097383E">
              <w:rPr>
                <w:rStyle w:val="Lienhypertexte"/>
                <w:rFonts w:ascii="Tahoma" w:hAnsi="Tahoma" w:cs="Tahoma"/>
                <w:noProof/>
              </w:rPr>
              <w:t>Variables et sources</w:t>
            </w:r>
            <w:r>
              <w:rPr>
                <w:noProof/>
                <w:webHidden/>
              </w:rPr>
              <w:tab/>
            </w:r>
            <w:r>
              <w:rPr>
                <w:noProof/>
                <w:webHidden/>
              </w:rPr>
              <w:fldChar w:fldCharType="begin"/>
            </w:r>
            <w:r>
              <w:rPr>
                <w:noProof/>
                <w:webHidden/>
              </w:rPr>
              <w:instrText xml:space="preserve"> PAGEREF _Toc230168247 \h </w:instrText>
            </w:r>
            <w:r>
              <w:rPr>
                <w:noProof/>
                <w:webHidden/>
              </w:rPr>
            </w:r>
            <w:r>
              <w:rPr>
                <w:noProof/>
                <w:webHidden/>
              </w:rPr>
              <w:fldChar w:fldCharType="separate"/>
            </w:r>
            <w:r>
              <w:rPr>
                <w:noProof/>
                <w:webHidden/>
              </w:rPr>
              <w:t>14</w:t>
            </w:r>
            <w:r>
              <w:rPr>
                <w:noProof/>
                <w:webHidden/>
              </w:rPr>
              <w:fldChar w:fldCharType="end"/>
            </w:r>
          </w:hyperlink>
        </w:p>
        <w:p w14:paraId="580F3CF0"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48" w:history="1">
            <w:r w:rsidRPr="0097383E">
              <w:rPr>
                <w:rStyle w:val="Lienhypertexte"/>
                <w:rFonts w:ascii="Tahoma" w:hAnsi="Tahoma" w:cs="Tahoma"/>
                <w:noProof/>
              </w:rPr>
              <w:t>Synthèse globale 2020 - 2024</w:t>
            </w:r>
            <w:r>
              <w:rPr>
                <w:noProof/>
                <w:webHidden/>
              </w:rPr>
              <w:tab/>
            </w:r>
            <w:r>
              <w:rPr>
                <w:noProof/>
                <w:webHidden/>
              </w:rPr>
              <w:fldChar w:fldCharType="begin"/>
            </w:r>
            <w:r>
              <w:rPr>
                <w:noProof/>
                <w:webHidden/>
              </w:rPr>
              <w:instrText xml:space="preserve"> PAGEREF _Toc230168248 \h </w:instrText>
            </w:r>
            <w:r>
              <w:rPr>
                <w:noProof/>
                <w:webHidden/>
              </w:rPr>
            </w:r>
            <w:r>
              <w:rPr>
                <w:noProof/>
                <w:webHidden/>
              </w:rPr>
              <w:fldChar w:fldCharType="separate"/>
            </w:r>
            <w:r>
              <w:rPr>
                <w:noProof/>
                <w:webHidden/>
              </w:rPr>
              <w:t>14</w:t>
            </w:r>
            <w:r>
              <w:rPr>
                <w:noProof/>
                <w:webHidden/>
              </w:rPr>
              <w:fldChar w:fldCharType="end"/>
            </w:r>
          </w:hyperlink>
        </w:p>
        <w:p w14:paraId="5BA1A68B"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49" w:history="1">
            <w:r w:rsidRPr="0097383E">
              <w:rPr>
                <w:rStyle w:val="Lienhypertexte"/>
                <w:rFonts w:ascii="Tahoma" w:hAnsi="Tahoma" w:cs="Tahoma"/>
                <w:noProof/>
              </w:rPr>
              <w:t>7.3 Quantification des pertes fiscales et de production non capturée</w:t>
            </w:r>
            <w:r>
              <w:rPr>
                <w:noProof/>
                <w:webHidden/>
              </w:rPr>
              <w:tab/>
            </w:r>
            <w:r>
              <w:rPr>
                <w:noProof/>
                <w:webHidden/>
              </w:rPr>
              <w:fldChar w:fldCharType="begin"/>
            </w:r>
            <w:r>
              <w:rPr>
                <w:noProof/>
                <w:webHidden/>
              </w:rPr>
              <w:instrText xml:space="preserve"> PAGEREF _Toc230168249 \h </w:instrText>
            </w:r>
            <w:r>
              <w:rPr>
                <w:noProof/>
                <w:webHidden/>
              </w:rPr>
            </w:r>
            <w:r>
              <w:rPr>
                <w:noProof/>
                <w:webHidden/>
              </w:rPr>
              <w:fldChar w:fldCharType="separate"/>
            </w:r>
            <w:r>
              <w:rPr>
                <w:noProof/>
                <w:webHidden/>
              </w:rPr>
              <w:t>16</w:t>
            </w:r>
            <w:r>
              <w:rPr>
                <w:noProof/>
                <w:webHidden/>
              </w:rPr>
              <w:fldChar w:fldCharType="end"/>
            </w:r>
          </w:hyperlink>
        </w:p>
        <w:p w14:paraId="637EF6CA"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50" w:history="1">
            <w:r w:rsidRPr="0097383E">
              <w:rPr>
                <w:rStyle w:val="Lienhypertexte"/>
                <w:rFonts w:ascii="Tahoma" w:hAnsi="Tahoma" w:cs="Tahoma"/>
                <w:noProof/>
              </w:rPr>
              <w:t>7.4 Risques de fuite de production et fraude commerciale</w:t>
            </w:r>
            <w:r>
              <w:rPr>
                <w:noProof/>
                <w:webHidden/>
              </w:rPr>
              <w:tab/>
            </w:r>
            <w:r>
              <w:rPr>
                <w:noProof/>
                <w:webHidden/>
              </w:rPr>
              <w:fldChar w:fldCharType="begin"/>
            </w:r>
            <w:r>
              <w:rPr>
                <w:noProof/>
                <w:webHidden/>
              </w:rPr>
              <w:instrText xml:space="preserve"> PAGEREF _Toc230168250 \h </w:instrText>
            </w:r>
            <w:r>
              <w:rPr>
                <w:noProof/>
                <w:webHidden/>
              </w:rPr>
            </w:r>
            <w:r>
              <w:rPr>
                <w:noProof/>
                <w:webHidden/>
              </w:rPr>
              <w:fldChar w:fldCharType="separate"/>
            </w:r>
            <w:r>
              <w:rPr>
                <w:noProof/>
                <w:webHidden/>
              </w:rPr>
              <w:t>17</w:t>
            </w:r>
            <w:r>
              <w:rPr>
                <w:noProof/>
                <w:webHidden/>
              </w:rPr>
              <w:fldChar w:fldCharType="end"/>
            </w:r>
          </w:hyperlink>
        </w:p>
        <w:p w14:paraId="18CE8A7D"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51" w:history="1">
            <w:r w:rsidRPr="0097383E">
              <w:rPr>
                <w:rStyle w:val="Lienhypertexte"/>
                <w:rFonts w:ascii="Tahoma" w:hAnsi="Tahoma" w:cs="Tahoma"/>
                <w:noProof/>
              </w:rPr>
              <w:t>7.5 Triangulation avec les données de production EMAPE déclarées</w:t>
            </w:r>
            <w:r>
              <w:rPr>
                <w:noProof/>
                <w:webHidden/>
              </w:rPr>
              <w:tab/>
            </w:r>
            <w:r>
              <w:rPr>
                <w:noProof/>
                <w:webHidden/>
              </w:rPr>
              <w:fldChar w:fldCharType="begin"/>
            </w:r>
            <w:r>
              <w:rPr>
                <w:noProof/>
                <w:webHidden/>
              </w:rPr>
              <w:instrText xml:space="preserve"> PAGEREF _Toc230168251 \h </w:instrText>
            </w:r>
            <w:r>
              <w:rPr>
                <w:noProof/>
                <w:webHidden/>
              </w:rPr>
            </w:r>
            <w:r>
              <w:rPr>
                <w:noProof/>
                <w:webHidden/>
              </w:rPr>
              <w:fldChar w:fldCharType="separate"/>
            </w:r>
            <w:r>
              <w:rPr>
                <w:noProof/>
                <w:webHidden/>
              </w:rPr>
              <w:t>18</w:t>
            </w:r>
            <w:r>
              <w:rPr>
                <w:noProof/>
                <w:webHidden/>
              </w:rPr>
              <w:fldChar w:fldCharType="end"/>
            </w:r>
          </w:hyperlink>
        </w:p>
        <w:p w14:paraId="46A38E7D" w14:textId="77777777" w:rsidR="008E608A" w:rsidRDefault="008E608A" w:rsidP="008E608A">
          <w:pPr>
            <w:pStyle w:val="TM1"/>
            <w:tabs>
              <w:tab w:val="right" w:leader="dot" w:pos="9556"/>
            </w:tabs>
            <w:rPr>
              <w:rFonts w:asciiTheme="minorHAnsi" w:eastAsiaTheme="minorEastAsia" w:hAnsiTheme="minorHAnsi" w:cstheme="minorBidi"/>
              <w:noProof/>
            </w:rPr>
          </w:pPr>
          <w:hyperlink w:anchor="_Toc230168252" w:history="1">
            <w:r w:rsidRPr="0097383E">
              <w:rPr>
                <w:rStyle w:val="Lienhypertexte"/>
                <w:rFonts w:ascii="Tahoma" w:hAnsi="Tahoma" w:cs="Tahoma"/>
                <w:noProof/>
              </w:rPr>
              <w:t>9. Recommandations</w:t>
            </w:r>
            <w:r>
              <w:rPr>
                <w:noProof/>
                <w:webHidden/>
              </w:rPr>
              <w:tab/>
            </w:r>
            <w:r>
              <w:rPr>
                <w:noProof/>
                <w:webHidden/>
              </w:rPr>
              <w:fldChar w:fldCharType="begin"/>
            </w:r>
            <w:r>
              <w:rPr>
                <w:noProof/>
                <w:webHidden/>
              </w:rPr>
              <w:instrText xml:space="preserve"> PAGEREF _Toc230168252 \h </w:instrText>
            </w:r>
            <w:r>
              <w:rPr>
                <w:noProof/>
                <w:webHidden/>
              </w:rPr>
            </w:r>
            <w:r>
              <w:rPr>
                <w:noProof/>
                <w:webHidden/>
              </w:rPr>
              <w:fldChar w:fldCharType="separate"/>
            </w:r>
            <w:r>
              <w:rPr>
                <w:noProof/>
                <w:webHidden/>
              </w:rPr>
              <w:t>19</w:t>
            </w:r>
            <w:r>
              <w:rPr>
                <w:noProof/>
                <w:webHidden/>
              </w:rPr>
              <w:fldChar w:fldCharType="end"/>
            </w:r>
          </w:hyperlink>
        </w:p>
        <w:p w14:paraId="0B9E2A47"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53" w:history="1">
            <w:r w:rsidRPr="0097383E">
              <w:rPr>
                <w:rStyle w:val="Lienhypertexte"/>
                <w:rFonts w:ascii="Tahoma" w:hAnsi="Tahoma" w:cs="Tahoma"/>
                <w:noProof/>
              </w:rPr>
              <w:t>Renforcement du dispositif de collecte de données à la source</w:t>
            </w:r>
            <w:r>
              <w:rPr>
                <w:noProof/>
                <w:webHidden/>
              </w:rPr>
              <w:tab/>
            </w:r>
            <w:r>
              <w:rPr>
                <w:noProof/>
                <w:webHidden/>
              </w:rPr>
              <w:fldChar w:fldCharType="begin"/>
            </w:r>
            <w:r>
              <w:rPr>
                <w:noProof/>
                <w:webHidden/>
              </w:rPr>
              <w:instrText xml:space="preserve"> PAGEREF _Toc230168253 \h </w:instrText>
            </w:r>
            <w:r>
              <w:rPr>
                <w:noProof/>
                <w:webHidden/>
              </w:rPr>
            </w:r>
            <w:r>
              <w:rPr>
                <w:noProof/>
                <w:webHidden/>
              </w:rPr>
              <w:fldChar w:fldCharType="separate"/>
            </w:r>
            <w:r>
              <w:rPr>
                <w:noProof/>
                <w:webHidden/>
              </w:rPr>
              <w:t>19</w:t>
            </w:r>
            <w:r>
              <w:rPr>
                <w:noProof/>
                <w:webHidden/>
              </w:rPr>
              <w:fldChar w:fldCharType="end"/>
            </w:r>
          </w:hyperlink>
        </w:p>
        <w:p w14:paraId="4DC8A99A"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54" w:history="1">
            <w:r w:rsidRPr="0097383E">
              <w:rPr>
                <w:rStyle w:val="Lienhypertexte"/>
                <w:rFonts w:ascii="Tahoma" w:hAnsi="Tahoma" w:cs="Tahoma"/>
                <w:noProof/>
              </w:rPr>
              <w:t>Renforcement du cadre de réconciliation ITIE</w:t>
            </w:r>
            <w:r>
              <w:rPr>
                <w:noProof/>
                <w:webHidden/>
              </w:rPr>
              <w:tab/>
            </w:r>
            <w:r>
              <w:rPr>
                <w:noProof/>
                <w:webHidden/>
              </w:rPr>
              <w:fldChar w:fldCharType="begin"/>
            </w:r>
            <w:r>
              <w:rPr>
                <w:noProof/>
                <w:webHidden/>
              </w:rPr>
              <w:instrText xml:space="preserve"> PAGEREF _Toc230168254 \h </w:instrText>
            </w:r>
            <w:r>
              <w:rPr>
                <w:noProof/>
                <w:webHidden/>
              </w:rPr>
            </w:r>
            <w:r>
              <w:rPr>
                <w:noProof/>
                <w:webHidden/>
              </w:rPr>
              <w:fldChar w:fldCharType="separate"/>
            </w:r>
            <w:r>
              <w:rPr>
                <w:noProof/>
                <w:webHidden/>
              </w:rPr>
              <w:t>19</w:t>
            </w:r>
            <w:r>
              <w:rPr>
                <w:noProof/>
                <w:webHidden/>
              </w:rPr>
              <w:fldChar w:fldCharType="end"/>
            </w:r>
          </w:hyperlink>
        </w:p>
        <w:p w14:paraId="261F618C"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55" w:history="1">
            <w:r w:rsidRPr="0097383E">
              <w:rPr>
                <w:rStyle w:val="Lienhypertexte"/>
                <w:rFonts w:ascii="Tahoma" w:hAnsi="Tahoma" w:cs="Tahoma"/>
                <w:noProof/>
              </w:rPr>
              <w:t>Réforme institutionnelle et coordination inter-administrations</w:t>
            </w:r>
            <w:r>
              <w:rPr>
                <w:noProof/>
                <w:webHidden/>
              </w:rPr>
              <w:tab/>
            </w:r>
            <w:r>
              <w:rPr>
                <w:noProof/>
                <w:webHidden/>
              </w:rPr>
              <w:fldChar w:fldCharType="begin"/>
            </w:r>
            <w:r>
              <w:rPr>
                <w:noProof/>
                <w:webHidden/>
              </w:rPr>
              <w:instrText xml:space="preserve"> PAGEREF _Toc230168255 \h </w:instrText>
            </w:r>
            <w:r>
              <w:rPr>
                <w:noProof/>
                <w:webHidden/>
              </w:rPr>
            </w:r>
            <w:r>
              <w:rPr>
                <w:noProof/>
                <w:webHidden/>
              </w:rPr>
              <w:fldChar w:fldCharType="separate"/>
            </w:r>
            <w:r>
              <w:rPr>
                <w:noProof/>
                <w:webHidden/>
              </w:rPr>
              <w:t>19</w:t>
            </w:r>
            <w:r>
              <w:rPr>
                <w:noProof/>
                <w:webHidden/>
              </w:rPr>
              <w:fldChar w:fldCharType="end"/>
            </w:r>
          </w:hyperlink>
        </w:p>
        <w:p w14:paraId="1CEE0137"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56" w:history="1">
            <w:r w:rsidRPr="0097383E">
              <w:rPr>
                <w:rStyle w:val="Lienhypertexte"/>
                <w:rFonts w:ascii="Tahoma" w:hAnsi="Tahoma" w:cs="Tahoma"/>
                <w:noProof/>
              </w:rPr>
              <w:t>Amélioration des statistiques douanières</w:t>
            </w:r>
            <w:r>
              <w:rPr>
                <w:noProof/>
                <w:webHidden/>
              </w:rPr>
              <w:tab/>
            </w:r>
            <w:r>
              <w:rPr>
                <w:noProof/>
                <w:webHidden/>
              </w:rPr>
              <w:fldChar w:fldCharType="begin"/>
            </w:r>
            <w:r>
              <w:rPr>
                <w:noProof/>
                <w:webHidden/>
              </w:rPr>
              <w:instrText xml:space="preserve"> PAGEREF _Toc230168256 \h </w:instrText>
            </w:r>
            <w:r>
              <w:rPr>
                <w:noProof/>
                <w:webHidden/>
              </w:rPr>
            </w:r>
            <w:r>
              <w:rPr>
                <w:noProof/>
                <w:webHidden/>
              </w:rPr>
              <w:fldChar w:fldCharType="separate"/>
            </w:r>
            <w:r>
              <w:rPr>
                <w:noProof/>
                <w:webHidden/>
              </w:rPr>
              <w:t>19</w:t>
            </w:r>
            <w:r>
              <w:rPr>
                <w:noProof/>
                <w:webHidden/>
              </w:rPr>
              <w:fldChar w:fldCharType="end"/>
            </w:r>
          </w:hyperlink>
        </w:p>
        <w:p w14:paraId="71B16E26" w14:textId="77777777" w:rsidR="008E608A" w:rsidRDefault="008E608A" w:rsidP="008E608A">
          <w:pPr>
            <w:pStyle w:val="TM2"/>
            <w:tabs>
              <w:tab w:val="right" w:leader="dot" w:pos="9556"/>
            </w:tabs>
            <w:rPr>
              <w:rFonts w:asciiTheme="minorHAnsi" w:eastAsiaTheme="minorEastAsia" w:hAnsiTheme="minorHAnsi" w:cstheme="minorBidi"/>
              <w:noProof/>
            </w:rPr>
          </w:pPr>
          <w:hyperlink w:anchor="_Toc230168257" w:history="1">
            <w:r w:rsidRPr="0097383E">
              <w:rPr>
                <w:rStyle w:val="Lienhypertexte"/>
                <w:rFonts w:ascii="Tahoma" w:hAnsi="Tahoma" w:cs="Tahoma"/>
                <w:noProof/>
              </w:rPr>
              <w:t>Renforcement de la transparence et de la publication</w:t>
            </w:r>
            <w:r>
              <w:rPr>
                <w:noProof/>
                <w:webHidden/>
              </w:rPr>
              <w:tab/>
            </w:r>
            <w:r>
              <w:rPr>
                <w:noProof/>
                <w:webHidden/>
              </w:rPr>
              <w:fldChar w:fldCharType="begin"/>
            </w:r>
            <w:r>
              <w:rPr>
                <w:noProof/>
                <w:webHidden/>
              </w:rPr>
              <w:instrText xml:space="preserve"> PAGEREF _Toc230168257 \h </w:instrText>
            </w:r>
            <w:r>
              <w:rPr>
                <w:noProof/>
                <w:webHidden/>
              </w:rPr>
            </w:r>
            <w:r>
              <w:rPr>
                <w:noProof/>
                <w:webHidden/>
              </w:rPr>
              <w:fldChar w:fldCharType="separate"/>
            </w:r>
            <w:r>
              <w:rPr>
                <w:noProof/>
                <w:webHidden/>
              </w:rPr>
              <w:t>19</w:t>
            </w:r>
            <w:r>
              <w:rPr>
                <w:noProof/>
                <w:webHidden/>
              </w:rPr>
              <w:fldChar w:fldCharType="end"/>
            </w:r>
          </w:hyperlink>
        </w:p>
        <w:p w14:paraId="3EDB9979" w14:textId="77777777" w:rsidR="008E608A" w:rsidRDefault="008E608A" w:rsidP="008E608A">
          <w:pPr>
            <w:pStyle w:val="TM1"/>
            <w:tabs>
              <w:tab w:val="right" w:leader="dot" w:pos="9556"/>
            </w:tabs>
            <w:rPr>
              <w:rFonts w:asciiTheme="minorHAnsi" w:eastAsiaTheme="minorEastAsia" w:hAnsiTheme="minorHAnsi" w:cstheme="minorBidi"/>
              <w:noProof/>
            </w:rPr>
          </w:pPr>
          <w:hyperlink w:anchor="_Toc230168258" w:history="1">
            <w:r w:rsidRPr="0097383E">
              <w:rPr>
                <w:rStyle w:val="Lienhypertexte"/>
                <w:rFonts w:ascii="Tahoma" w:hAnsi="Tahoma" w:cs="Tahoma"/>
                <w:noProof/>
              </w:rPr>
              <w:t>Conclusion</w:t>
            </w:r>
            <w:r>
              <w:rPr>
                <w:noProof/>
                <w:webHidden/>
              </w:rPr>
              <w:tab/>
            </w:r>
            <w:r>
              <w:rPr>
                <w:noProof/>
                <w:webHidden/>
              </w:rPr>
              <w:fldChar w:fldCharType="begin"/>
            </w:r>
            <w:r>
              <w:rPr>
                <w:noProof/>
                <w:webHidden/>
              </w:rPr>
              <w:instrText xml:space="preserve"> PAGEREF _Toc230168258 \h </w:instrText>
            </w:r>
            <w:r>
              <w:rPr>
                <w:noProof/>
                <w:webHidden/>
              </w:rPr>
            </w:r>
            <w:r>
              <w:rPr>
                <w:noProof/>
                <w:webHidden/>
              </w:rPr>
              <w:fldChar w:fldCharType="separate"/>
            </w:r>
            <w:r>
              <w:rPr>
                <w:noProof/>
                <w:webHidden/>
              </w:rPr>
              <w:t>21</w:t>
            </w:r>
            <w:r>
              <w:rPr>
                <w:noProof/>
                <w:webHidden/>
              </w:rPr>
              <w:fldChar w:fldCharType="end"/>
            </w:r>
          </w:hyperlink>
        </w:p>
        <w:p w14:paraId="099B7F91" w14:textId="77777777" w:rsidR="008E608A" w:rsidRPr="00A815B9" w:rsidRDefault="008E608A" w:rsidP="008E608A">
          <w:pPr>
            <w:pStyle w:val="TM1"/>
            <w:tabs>
              <w:tab w:val="right" w:leader="dot" w:pos="9556"/>
            </w:tabs>
            <w:rPr>
              <w:rFonts w:ascii="Tahoma" w:hAnsi="Tahoma" w:cs="Tahoma"/>
            </w:rPr>
          </w:pPr>
          <w:r>
            <w:rPr>
              <w:rFonts w:ascii="Tahoma" w:hAnsi="Tahoma" w:cs="Tahoma"/>
            </w:rPr>
            <w:lastRenderedPageBreak/>
            <w:fldChar w:fldCharType="end"/>
          </w:r>
        </w:p>
      </w:sdtContent>
    </w:sdt>
    <w:p w14:paraId="2D799187" w14:textId="77777777" w:rsidR="008E608A" w:rsidRPr="00A815B9" w:rsidRDefault="008E608A" w:rsidP="008E608A">
      <w:pPr>
        <w:spacing w:after="80" w:line="276" w:lineRule="auto"/>
        <w:jc w:val="both"/>
        <w:rPr>
          <w:rFonts w:ascii="Tahoma" w:hAnsi="Tahoma" w:cs="Tahoma"/>
        </w:rPr>
      </w:pPr>
      <w:r w:rsidRPr="00A815B9">
        <w:rPr>
          <w:rFonts w:ascii="Tahoma" w:hAnsi="Tahoma" w:cs="Tahoma"/>
        </w:rPr>
        <w:br w:type="page"/>
      </w:r>
    </w:p>
    <w:p w14:paraId="2BD0B632" w14:textId="77777777" w:rsidR="008E608A" w:rsidRPr="00A815B9" w:rsidRDefault="008E608A" w:rsidP="008E608A">
      <w:pPr>
        <w:pStyle w:val="Titre1"/>
        <w:spacing w:after="80" w:line="276" w:lineRule="auto"/>
        <w:jc w:val="both"/>
        <w:rPr>
          <w:rFonts w:ascii="Tahoma" w:hAnsi="Tahoma" w:cs="Tahoma"/>
        </w:rPr>
      </w:pPr>
      <w:bookmarkStart w:id="2" w:name="_Toc230168224"/>
      <w:r w:rsidRPr="00A815B9">
        <w:rPr>
          <w:rFonts w:ascii="Tahoma" w:hAnsi="Tahoma" w:cs="Tahoma"/>
        </w:rPr>
        <w:lastRenderedPageBreak/>
        <w:t>1. État des lieux de l'or issu de l'EMAPE au Sénégal</w:t>
      </w:r>
      <w:bookmarkEnd w:id="2"/>
    </w:p>
    <w:p w14:paraId="00EA60F4" w14:textId="77777777" w:rsidR="008E608A" w:rsidRPr="00A815B9" w:rsidRDefault="008E608A" w:rsidP="008E608A">
      <w:pPr>
        <w:pStyle w:val="Titre2"/>
        <w:spacing w:after="80" w:line="276" w:lineRule="auto"/>
        <w:jc w:val="both"/>
        <w:rPr>
          <w:rFonts w:ascii="Tahoma" w:hAnsi="Tahoma" w:cs="Tahoma"/>
        </w:rPr>
      </w:pPr>
      <w:bookmarkStart w:id="3" w:name="_Toc230168225"/>
      <w:r w:rsidRPr="00A815B9">
        <w:rPr>
          <w:rFonts w:ascii="Tahoma" w:hAnsi="Tahoma" w:cs="Tahoma"/>
        </w:rPr>
        <w:t>1.1 Cadre institutionnel</w:t>
      </w:r>
      <w:bookmarkEnd w:id="3"/>
    </w:p>
    <w:p w14:paraId="3A961A60"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L'exploitation minière artisanale et à petite échelle est placée sous la tutelle du </w:t>
      </w:r>
      <w:proofErr w:type="gramStart"/>
      <w:r w:rsidRPr="00A815B9">
        <w:rPr>
          <w:rFonts w:ascii="Tahoma" w:hAnsi="Tahoma" w:cs="Tahoma"/>
          <w:color w:val="000000"/>
        </w:rPr>
        <w:t>Ministère de l'Énergie</w:t>
      </w:r>
      <w:proofErr w:type="gramEnd"/>
      <w:r w:rsidRPr="00A815B9">
        <w:rPr>
          <w:rFonts w:ascii="Tahoma" w:hAnsi="Tahoma" w:cs="Tahoma"/>
          <w:color w:val="000000"/>
        </w:rPr>
        <w:t>, du Pétrole et des Mines (MEPM). Au niveau central, deux directions exercent des missions distinctes mais complémentaires : la Direction générale des Mines et de la Géologie (DGMG), compétente pour la délivrance et le suivi des titres miniers, et la Direction générale du Contrôle et de la Surveillance des Opérations (DGCSO), chargée de la supervision des opérations minières.</w:t>
      </w:r>
    </w:p>
    <w:p w14:paraId="2B7EB563"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Au niveau déconcentré, la Direction régionale de l'Énergie, du Pétrole et des Mines (DREPM) assure la mise en œuvre de la politique gouvernementale en matière d'exploitation artisanale. Elle est notamment responsable de la délimitation des couloirs, de la surveillance des activités, de l'organisation des acteurs et du suivi de la commercialisation.</w:t>
      </w:r>
    </w:p>
    <w:p w14:paraId="3701541B"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Toutefois, les DREPM disposent de ressources humaines, matérielles et financières très limitées au regard de l'ampleur, de la dispersion géographique et de la clandestinité des activités à encadrer. Cette insuffisance structurelle de moyens constitue un facteur déterminant dans la défaillance du système de collecte de données.</w:t>
      </w:r>
    </w:p>
    <w:p w14:paraId="4904720A"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D'autres ministères interviennent transversalement : le </w:t>
      </w:r>
      <w:proofErr w:type="gramStart"/>
      <w:r w:rsidRPr="00A815B9">
        <w:rPr>
          <w:rFonts w:ascii="Tahoma" w:hAnsi="Tahoma" w:cs="Tahoma"/>
          <w:color w:val="000000"/>
        </w:rPr>
        <w:t>Ministère</w:t>
      </w:r>
      <w:proofErr w:type="gramEnd"/>
      <w:r w:rsidRPr="00A815B9">
        <w:rPr>
          <w:rFonts w:ascii="Tahoma" w:hAnsi="Tahoma" w:cs="Tahoma"/>
          <w:color w:val="000000"/>
        </w:rPr>
        <w:t xml:space="preserve"> des Finances (Direction de la Monnaie et du Crédit pour les agréments de commercialisation, Direction générale des Impôts pour la fiscalité), le Ministère de l'Environnement (impacts sur les milieux naturels) et le Ministère des Collectivités territoriales (gouvernance locale et affectation des sites).</w:t>
      </w:r>
    </w:p>
    <w:p w14:paraId="4A97C87E" w14:textId="77777777" w:rsidR="008E608A" w:rsidRPr="00A815B9" w:rsidRDefault="008E608A" w:rsidP="008E608A">
      <w:pPr>
        <w:pBdr>
          <w:top w:val="single" w:sz="6" w:space="6" w:color="E67E22"/>
          <w:left w:val="single" w:sz="18" w:space="8" w:color="E67E22"/>
          <w:bottom w:val="single" w:sz="6" w:space="6" w:color="E67E22"/>
          <w:right w:val="single" w:sz="6" w:space="6" w:color="E67E22"/>
        </w:pBdr>
        <w:shd w:val="clear" w:color="auto" w:fill="FFF3CD"/>
        <w:spacing w:before="160" w:after="80" w:line="276" w:lineRule="auto"/>
        <w:ind w:left="360" w:right="240"/>
        <w:jc w:val="both"/>
        <w:rPr>
          <w:rFonts w:ascii="Tahoma" w:hAnsi="Tahoma" w:cs="Tahoma"/>
        </w:rPr>
      </w:pPr>
      <w:r w:rsidRPr="00A815B9">
        <w:rPr>
          <w:rFonts w:ascii="Tahoma" w:hAnsi="Tahoma" w:cs="Tahoma"/>
          <w:color w:val="1C3A5C"/>
          <w:sz w:val="21"/>
          <w:szCs w:val="21"/>
        </w:rPr>
        <w:t>En mars 2021, la Direction de l'Exploitation Minière Artisanale et à Petite Échelle (DEMAPE) a été mise en place pour formaliser le sous-secteur. Toutefois, la DEMAPE a</w:t>
      </w:r>
      <w:r>
        <w:rPr>
          <w:rFonts w:ascii="Tahoma" w:hAnsi="Tahoma" w:cs="Tahoma"/>
          <w:color w:val="1C3A5C"/>
          <w:sz w:val="21"/>
          <w:szCs w:val="21"/>
        </w:rPr>
        <w:t xml:space="preserve">, octobre </w:t>
      </w:r>
      <w:r w:rsidRPr="00A815B9">
        <w:rPr>
          <w:rFonts w:ascii="Tahoma" w:hAnsi="Tahoma" w:cs="Tahoma"/>
          <w:color w:val="1C3A5C"/>
          <w:sz w:val="21"/>
          <w:szCs w:val="21"/>
        </w:rPr>
        <w:t>depuis</w:t>
      </w:r>
      <w:r>
        <w:rPr>
          <w:rFonts w:ascii="Tahoma" w:hAnsi="Tahoma" w:cs="Tahoma"/>
          <w:color w:val="1C3A5C"/>
          <w:sz w:val="21"/>
          <w:szCs w:val="21"/>
        </w:rPr>
        <w:t xml:space="preserve"> 2024,</w:t>
      </w:r>
      <w:r w:rsidRPr="00A815B9">
        <w:rPr>
          <w:rFonts w:ascii="Tahoma" w:hAnsi="Tahoma" w:cs="Tahoma"/>
          <w:color w:val="1C3A5C"/>
          <w:sz w:val="21"/>
          <w:szCs w:val="21"/>
        </w:rPr>
        <w:t xml:space="preserve"> été rétrogradée au rang de division, ce qui affaiblit sa capacité opérationnelle et son autorité institutionnelle.</w:t>
      </w:r>
    </w:p>
    <w:p w14:paraId="3BF361F7" w14:textId="77777777" w:rsidR="008E608A" w:rsidRPr="00A815B9" w:rsidRDefault="008E608A" w:rsidP="008E608A">
      <w:pPr>
        <w:pStyle w:val="Titre2"/>
        <w:spacing w:after="80" w:line="276" w:lineRule="auto"/>
        <w:jc w:val="both"/>
        <w:rPr>
          <w:rFonts w:ascii="Tahoma" w:hAnsi="Tahoma" w:cs="Tahoma"/>
        </w:rPr>
      </w:pPr>
      <w:bookmarkStart w:id="4" w:name="_Toc230168226"/>
      <w:r w:rsidRPr="00A815B9">
        <w:rPr>
          <w:rFonts w:ascii="Tahoma" w:hAnsi="Tahoma" w:cs="Tahoma"/>
        </w:rPr>
        <w:t>1.2 Organisation du sous-secteur de l'EMAPE</w:t>
      </w:r>
      <w:bookmarkEnd w:id="4"/>
    </w:p>
    <w:p w14:paraId="0302128E" w14:textId="77777777" w:rsidR="008E608A" w:rsidRDefault="008E608A" w:rsidP="008E608A">
      <w:pPr>
        <w:spacing w:after="80" w:line="276" w:lineRule="auto"/>
        <w:jc w:val="both"/>
        <w:rPr>
          <w:rFonts w:ascii="Tahoma" w:hAnsi="Tahoma" w:cs="Tahoma"/>
          <w:color w:val="000000"/>
        </w:rPr>
      </w:pPr>
      <w:r w:rsidRPr="00A815B9">
        <w:rPr>
          <w:rFonts w:ascii="Tahoma" w:hAnsi="Tahoma" w:cs="Tahoma"/>
          <w:color w:val="000000"/>
        </w:rPr>
        <w:t>L'EMAPE désigne les activités d'extraction et de traitement de substances minérales réalisées par des personnes physiques, des groupes, des familles ou des coopératives, à l'aide de techniques manuelles ou faiblement mécanisées.</w:t>
      </w:r>
    </w:p>
    <w:p w14:paraId="018E928E"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Au Sénégal, le cadre réglementaire a connu plusieurs évolutions structurantes.</w:t>
      </w:r>
    </w:p>
    <w:p w14:paraId="5598F135"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 loi n° 2016-32 du 08 novembre 2016 portant Code minier introduit deux régimes de titres spécifiques :</w:t>
      </w:r>
    </w:p>
    <w:p w14:paraId="676A61C0"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L'autorisation minière artisanale (AMA) : destinée aux activités manuelles et traditionnelles, exercées par les communautés locales. Aucune AMA n'est actuellement active, ce qui reflète la marginalisation réglementaire de facto de ce segment.</w:t>
      </w:r>
    </w:p>
    <w:p w14:paraId="7734F83C"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L'autorisation minière semi-mécanisée (AMSM) : pour les exploitations à petite échelle utilisant des équipements mécanisés, avec une capacité de traitement journalière plafonnée à 500 tonnes. Ce régime a progressivement absorbé les anciennes autorisations artisanales.</w:t>
      </w:r>
    </w:p>
    <w:p w14:paraId="46240ECE" w14:textId="77777777" w:rsidR="008E608A" w:rsidRPr="00A815B9" w:rsidRDefault="008E608A" w:rsidP="008E608A">
      <w:pPr>
        <w:spacing w:after="80" w:line="276" w:lineRule="auto"/>
        <w:jc w:val="both"/>
        <w:rPr>
          <w:rFonts w:ascii="Tahoma" w:hAnsi="Tahoma" w:cs="Tahoma"/>
        </w:rPr>
      </w:pPr>
    </w:p>
    <w:p w14:paraId="7058DC29"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Les textes réglementaires structurants comprennent également :</w:t>
      </w:r>
    </w:p>
    <w:p w14:paraId="1C02FD3E"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L'arrêté n° 009249/MEM/DMG du 14 juin 2013 : instaurant les cartes d'orpailleur (valables 5 ans, réservées aux nationaux sénégalais).</w:t>
      </w:r>
    </w:p>
    <w:p w14:paraId="39BA002D"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lastRenderedPageBreak/>
        <w:t>L'arrêté n° 02472/MIM/DMG du 10 février 2014 : définissant les couloirs d'orpaillage dans les régions de Tambacounda et Kédougou.</w:t>
      </w:r>
    </w:p>
    <w:p w14:paraId="2FA59138"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L'arrêté interministériel n° 09931/MIM/MEF/MCESI du 18 juin 2014 : fixant les modalités d'ouverture et de gestion des comptoirs de commercialisation des métaux et pierres précieuses.</w:t>
      </w:r>
    </w:p>
    <w:p w14:paraId="7DC0E722" w14:textId="77777777" w:rsidR="008E608A" w:rsidRPr="00A815B9" w:rsidRDefault="008E608A" w:rsidP="008E608A">
      <w:pPr>
        <w:pStyle w:val="Titre2"/>
        <w:spacing w:after="80" w:line="276" w:lineRule="auto"/>
        <w:jc w:val="both"/>
        <w:rPr>
          <w:rFonts w:ascii="Tahoma" w:hAnsi="Tahoma" w:cs="Tahoma"/>
        </w:rPr>
      </w:pPr>
      <w:bookmarkStart w:id="5" w:name="_Toc230168227"/>
      <w:r w:rsidRPr="00A815B9">
        <w:rPr>
          <w:rFonts w:ascii="Tahoma" w:hAnsi="Tahoma" w:cs="Tahoma"/>
        </w:rPr>
        <w:t>1.3 Situation des titres miniers de l'EMAPE</w:t>
      </w:r>
      <w:bookmarkEnd w:id="5"/>
    </w:p>
    <w:p w14:paraId="6C7002BA"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Selon les données de la plateforme </w:t>
      </w:r>
      <w:proofErr w:type="spellStart"/>
      <w:r w:rsidRPr="00A815B9">
        <w:rPr>
          <w:rFonts w:ascii="Tahoma" w:hAnsi="Tahoma" w:cs="Tahoma"/>
          <w:color w:val="000000"/>
        </w:rPr>
        <w:t>Landfolio</w:t>
      </w:r>
      <w:proofErr w:type="spellEnd"/>
      <w:r>
        <w:rPr>
          <w:rFonts w:ascii="Tahoma" w:hAnsi="Tahoma" w:cs="Tahoma"/>
          <w:color w:val="000000"/>
        </w:rPr>
        <w:t xml:space="preserve"> (</w:t>
      </w:r>
      <w:r w:rsidRPr="00A815B9">
        <w:rPr>
          <w:rFonts w:ascii="Tahoma" w:hAnsi="Tahoma" w:cs="Tahoma"/>
          <w:color w:val="000000"/>
        </w:rPr>
        <w:t>système informatisé de gestion du cadastre minier</w:t>
      </w:r>
      <w:r>
        <w:rPr>
          <w:rFonts w:ascii="Tahoma" w:hAnsi="Tahoma" w:cs="Tahoma"/>
          <w:color w:val="000000"/>
        </w:rPr>
        <w:t>)</w:t>
      </w:r>
      <w:r w:rsidRPr="00A815B9">
        <w:rPr>
          <w:rFonts w:ascii="Tahoma" w:hAnsi="Tahoma" w:cs="Tahoma"/>
          <w:color w:val="000000"/>
        </w:rPr>
        <w:t xml:space="preserve"> le portefeuille actif d'autorisations se décompose comme suit :</w:t>
      </w:r>
    </w:p>
    <w:p w14:paraId="202591AF" w14:textId="77777777" w:rsidR="008E608A" w:rsidRPr="00A815B9" w:rsidRDefault="008E608A" w:rsidP="008E608A">
      <w:pPr>
        <w:spacing w:after="80" w:line="276" w:lineRule="auto"/>
        <w:jc w:val="both"/>
        <w:rPr>
          <w:rFonts w:ascii="Tahoma" w:hAnsi="Tahoma" w:cs="Tahoma"/>
        </w:r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2"/>
        <w:gridCol w:w="744"/>
        <w:gridCol w:w="948"/>
        <w:gridCol w:w="2006"/>
        <w:gridCol w:w="2080"/>
      </w:tblGrid>
      <w:tr w:rsidR="008E608A" w:rsidRPr="00A815B9" w14:paraId="63F31ECE" w14:textId="77777777" w:rsidTr="001E07B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5C52A0A4"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Type de titre</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8E9AB03"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7528075"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Actives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316F7B2"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En renouvellement</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32956C9"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Autorisées s/réserve</w:t>
            </w:r>
          </w:p>
        </w:tc>
      </w:tr>
      <w:tr w:rsidR="008E608A" w:rsidRPr="00A815B9" w14:paraId="6164C1C7" w14:textId="77777777" w:rsidTr="001E07B7">
        <w:tblPrEx>
          <w:tblCellMar>
            <w:top w:w="0" w:type="dxa"/>
            <w:bottom w:w="0" w:type="dxa"/>
          </w:tblCellMar>
        </w:tblPrEx>
        <w:trPr>
          <w:trHeight w:val="583"/>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0F1B11D"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Autorisation minière artisanale (AMA)</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3245BB5" w14:textId="77777777" w:rsidR="008E608A" w:rsidRPr="00A815B9" w:rsidRDefault="008E608A" w:rsidP="001E07B7">
            <w:pPr>
              <w:spacing w:after="80" w:line="276" w:lineRule="auto"/>
              <w:jc w:val="both"/>
              <w:rPr>
                <w:rFonts w:ascii="Tahoma" w:hAnsi="Tahoma" w:cs="Tahoma"/>
              </w:rPr>
            </w:pPr>
            <w:r>
              <w:rPr>
                <w:rFonts w:ascii="Tahoma" w:hAnsi="Tahoma" w:cs="Tahoma"/>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4DF151C"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C0392B"/>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D3996C1" w14:textId="77777777" w:rsidR="008E608A" w:rsidRPr="00A815B9" w:rsidRDefault="008E608A" w:rsidP="001E07B7">
            <w:pPr>
              <w:spacing w:after="80" w:line="276" w:lineRule="auto"/>
              <w:jc w:val="both"/>
              <w:rPr>
                <w:rFonts w:ascii="Tahoma" w:hAnsi="Tahoma" w:cs="Tahoma"/>
              </w:rPr>
            </w:pPr>
            <w:r>
              <w:rPr>
                <w:rFonts w:ascii="Tahoma" w:hAnsi="Tahoma" w:cs="Tahoma"/>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559642C" w14:textId="77777777" w:rsidR="008E608A" w:rsidRPr="00A815B9" w:rsidRDefault="008E608A" w:rsidP="001E07B7">
            <w:pPr>
              <w:spacing w:after="80" w:line="276" w:lineRule="auto"/>
              <w:jc w:val="both"/>
              <w:rPr>
                <w:rFonts w:ascii="Tahoma" w:hAnsi="Tahoma" w:cs="Tahoma"/>
              </w:rPr>
            </w:pPr>
            <w:r>
              <w:rPr>
                <w:rFonts w:ascii="Tahoma" w:hAnsi="Tahoma" w:cs="Tahoma"/>
                <w:color w:val="000000"/>
                <w:sz w:val="20"/>
                <w:szCs w:val="20"/>
              </w:rPr>
              <w:t>-</w:t>
            </w:r>
          </w:p>
        </w:tc>
      </w:tr>
      <w:tr w:rsidR="008E608A" w:rsidRPr="00A815B9" w14:paraId="06F091B8"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16AC84E"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Autorisation minière semi-mécanisée (AMSM)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8935073"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68205D9"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27AE60"/>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52726E8"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A0C5A4A"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45</w:t>
            </w:r>
          </w:p>
        </w:tc>
      </w:tr>
      <w:tr w:rsidR="008E608A" w:rsidRPr="00A815B9" w14:paraId="303FD940"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5612E23C"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2D7DFFF3"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55D0D32F"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47429DF9"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61B32283"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45</w:t>
            </w:r>
          </w:p>
        </w:tc>
      </w:tr>
    </w:tbl>
    <w:p w14:paraId="1C7E480A" w14:textId="77777777" w:rsidR="008E608A" w:rsidRPr="00A815B9" w:rsidRDefault="008E608A" w:rsidP="008E608A">
      <w:pPr>
        <w:spacing w:after="80" w:line="276" w:lineRule="auto"/>
        <w:jc w:val="both"/>
        <w:rPr>
          <w:rFonts w:ascii="Tahoma" w:hAnsi="Tahoma" w:cs="Tahoma"/>
        </w:rPr>
      </w:pPr>
    </w:p>
    <w:p w14:paraId="339E6EAA"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666666"/>
          <w:sz w:val="18"/>
          <w:szCs w:val="18"/>
        </w:rPr>
        <w:t xml:space="preserve">Source : Plateforme </w:t>
      </w:r>
      <w:proofErr w:type="spellStart"/>
      <w:r w:rsidRPr="00A815B9">
        <w:rPr>
          <w:rFonts w:ascii="Tahoma" w:hAnsi="Tahoma" w:cs="Tahoma"/>
          <w:color w:val="666666"/>
          <w:sz w:val="18"/>
          <w:szCs w:val="18"/>
        </w:rPr>
        <w:t>Landfolio</w:t>
      </w:r>
      <w:proofErr w:type="spellEnd"/>
      <w:r w:rsidRPr="00A815B9">
        <w:rPr>
          <w:rFonts w:ascii="Tahoma" w:hAnsi="Tahoma" w:cs="Tahoma"/>
          <w:color w:val="666666"/>
          <w:sz w:val="18"/>
          <w:szCs w:val="18"/>
        </w:rPr>
        <w:t>, 2025. Traitement CN-ITIE.</w:t>
      </w:r>
    </w:p>
    <w:p w14:paraId="60085117"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Au total, dix-neuf (19) couloirs d'orpaillage ont été délimités : seize (16) dans la région de Kédougou et trois (3) dans celle de Tambacounda. Seuls cinq sont opérationnels </w:t>
      </w:r>
      <w:r>
        <w:rPr>
          <w:rFonts w:ascii="Tahoma" w:hAnsi="Tahoma" w:cs="Tahoma"/>
          <w:color w:val="000000"/>
        </w:rPr>
        <w:t>-</w:t>
      </w:r>
      <w:r w:rsidRPr="00A815B9">
        <w:rPr>
          <w:rFonts w:ascii="Tahoma" w:hAnsi="Tahoma" w:cs="Tahoma"/>
          <w:color w:val="000000"/>
        </w:rPr>
        <w:t xml:space="preserve"> </w:t>
      </w:r>
      <w:proofErr w:type="spellStart"/>
      <w:r w:rsidRPr="00A815B9">
        <w:rPr>
          <w:rFonts w:ascii="Tahoma" w:hAnsi="Tahoma" w:cs="Tahoma"/>
          <w:color w:val="000000"/>
        </w:rPr>
        <w:t>Bantaco</w:t>
      </w:r>
      <w:proofErr w:type="spellEnd"/>
      <w:r w:rsidRPr="00A815B9">
        <w:rPr>
          <w:rFonts w:ascii="Tahoma" w:hAnsi="Tahoma" w:cs="Tahoma"/>
          <w:color w:val="000000"/>
        </w:rPr>
        <w:t xml:space="preserve">, </w:t>
      </w:r>
      <w:proofErr w:type="spellStart"/>
      <w:r w:rsidRPr="00A815B9">
        <w:rPr>
          <w:rFonts w:ascii="Tahoma" w:hAnsi="Tahoma" w:cs="Tahoma"/>
          <w:color w:val="000000"/>
        </w:rPr>
        <w:t>Tenkoto</w:t>
      </w:r>
      <w:proofErr w:type="spellEnd"/>
      <w:r w:rsidRPr="00A815B9">
        <w:rPr>
          <w:rFonts w:ascii="Tahoma" w:hAnsi="Tahoma" w:cs="Tahoma"/>
          <w:color w:val="000000"/>
        </w:rPr>
        <w:t xml:space="preserve">, </w:t>
      </w:r>
      <w:proofErr w:type="spellStart"/>
      <w:r w:rsidRPr="00A815B9">
        <w:rPr>
          <w:rFonts w:ascii="Tahoma" w:hAnsi="Tahoma" w:cs="Tahoma"/>
          <w:color w:val="000000"/>
        </w:rPr>
        <w:t>Kharakhena</w:t>
      </w:r>
      <w:proofErr w:type="spellEnd"/>
      <w:r w:rsidRPr="00A815B9">
        <w:rPr>
          <w:rFonts w:ascii="Tahoma" w:hAnsi="Tahoma" w:cs="Tahoma"/>
          <w:color w:val="000000"/>
        </w:rPr>
        <w:t xml:space="preserve">, </w:t>
      </w:r>
      <w:proofErr w:type="spellStart"/>
      <w:r w:rsidRPr="00A815B9">
        <w:rPr>
          <w:rFonts w:ascii="Tahoma" w:hAnsi="Tahoma" w:cs="Tahoma"/>
          <w:color w:val="000000"/>
        </w:rPr>
        <w:t>Garaboureya</w:t>
      </w:r>
      <w:proofErr w:type="spellEnd"/>
      <w:r w:rsidRPr="00A815B9">
        <w:rPr>
          <w:rFonts w:ascii="Tahoma" w:hAnsi="Tahoma" w:cs="Tahoma"/>
          <w:color w:val="000000"/>
        </w:rPr>
        <w:t xml:space="preserve"> Sud et </w:t>
      </w:r>
      <w:proofErr w:type="spellStart"/>
      <w:r w:rsidRPr="00A815B9">
        <w:rPr>
          <w:rFonts w:ascii="Tahoma" w:hAnsi="Tahoma" w:cs="Tahoma"/>
          <w:color w:val="000000"/>
        </w:rPr>
        <w:t>Bondala</w:t>
      </w:r>
      <w:proofErr w:type="spellEnd"/>
      <w:r w:rsidRPr="00A815B9">
        <w:rPr>
          <w:rFonts w:ascii="Tahoma" w:hAnsi="Tahoma" w:cs="Tahoma"/>
          <w:color w:val="000000"/>
        </w:rPr>
        <w:t xml:space="preserve"> </w:t>
      </w:r>
      <w:r>
        <w:rPr>
          <w:rFonts w:ascii="Tahoma" w:hAnsi="Tahoma" w:cs="Tahoma"/>
          <w:color w:val="000000"/>
        </w:rPr>
        <w:t>-</w:t>
      </w:r>
      <w:r w:rsidRPr="00A815B9">
        <w:rPr>
          <w:rFonts w:ascii="Tahoma" w:hAnsi="Tahoma" w:cs="Tahoma"/>
          <w:color w:val="000000"/>
        </w:rPr>
        <w:t xml:space="preserve"> tous situés dans la région de Kédougou.</w:t>
      </w:r>
    </w:p>
    <w:p w14:paraId="3A1BB752"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 progression du nombre d'AMSM s'explique par la hausse soutenue du cours de l'or et la croissance démographique dans les bassins miniers artisanaux. Le décret n° 2014-1502 du 31 juillet 2014 restreint toutefois l'exploitation dans une bande de 500 mètres de part et d'autre de la Falémé, limitant l'activité effective de plusieurs titulaires.</w:t>
      </w:r>
    </w:p>
    <w:p w14:paraId="5454A811" w14:textId="77777777" w:rsidR="008E608A" w:rsidRPr="00A815B9" w:rsidRDefault="008E608A" w:rsidP="008E608A">
      <w:pPr>
        <w:pStyle w:val="Titre2"/>
        <w:spacing w:after="80" w:line="276" w:lineRule="auto"/>
        <w:jc w:val="both"/>
        <w:rPr>
          <w:rFonts w:ascii="Tahoma" w:hAnsi="Tahoma" w:cs="Tahoma"/>
        </w:rPr>
      </w:pPr>
      <w:bookmarkStart w:id="6" w:name="_Toc230168228"/>
      <w:r w:rsidRPr="00A815B9">
        <w:rPr>
          <w:rFonts w:ascii="Tahoma" w:hAnsi="Tahoma" w:cs="Tahoma"/>
        </w:rPr>
        <w:t>1.4 Production d'or artisanal déclarée</w:t>
      </w:r>
      <w:bookmarkEnd w:id="6"/>
    </w:p>
    <w:p w14:paraId="4EC087DD"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 production d'or artisanal demeure structurellement difficile à évaluer en raison du caractère informel dominant de l'activité. Conformément à l'article 107 du décret n° 2017-459 du 20 mars 2017 fixant les modalités d'application du Code minier, tout titulaire est tenu de transmettre une déclaration trimestrielle à l'administration minière comportant les tonnages extraits, les recettes des ventes locales et à l'étranger, ainsi que les stocks non vendus.</w:t>
      </w:r>
    </w:p>
    <w:p w14:paraId="4B291482" w14:textId="77777777" w:rsidR="008E608A" w:rsidRPr="00A815B9" w:rsidRDefault="008E608A" w:rsidP="008E608A">
      <w:pPr>
        <w:pBdr>
          <w:top w:val="single" w:sz="6" w:space="6" w:color="E67E22"/>
          <w:left w:val="single" w:sz="18" w:space="8" w:color="E67E22"/>
          <w:bottom w:val="single" w:sz="6" w:space="6" w:color="E67E22"/>
          <w:right w:val="single" w:sz="6" w:space="6" w:color="E67E22"/>
        </w:pBdr>
        <w:shd w:val="clear" w:color="auto" w:fill="FFF3CD"/>
        <w:spacing w:before="160" w:after="80" w:line="276" w:lineRule="auto"/>
        <w:ind w:left="360" w:right="240"/>
        <w:jc w:val="both"/>
        <w:rPr>
          <w:rFonts w:ascii="Tahoma" w:hAnsi="Tahoma" w:cs="Tahoma"/>
        </w:rPr>
      </w:pPr>
      <w:r w:rsidRPr="00A815B9">
        <w:rPr>
          <w:rFonts w:ascii="Tahoma" w:hAnsi="Tahoma" w:cs="Tahoma"/>
          <w:color w:val="1C3A5C"/>
          <w:sz w:val="21"/>
          <w:szCs w:val="21"/>
        </w:rPr>
        <w:t>Sur la période 2023–2025, seulement 12 entreprises sur 96 autorisations actives ont effectivement transmis une déclaration de production à l'administration des mines, soit un taux de conformité déclarative inférieur à 13 %.</w:t>
      </w:r>
    </w:p>
    <w:p w14:paraId="0204964C" w14:textId="77777777" w:rsidR="008E608A" w:rsidRPr="00A815B9" w:rsidRDefault="008E608A" w:rsidP="008E608A">
      <w:pPr>
        <w:spacing w:after="80" w:line="276" w:lineRule="auto"/>
        <w:jc w:val="both"/>
        <w:rPr>
          <w:rFonts w:ascii="Tahoma" w:hAnsi="Tahoma" w:cs="Tahoma"/>
        </w:r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2075"/>
        <w:gridCol w:w="2252"/>
        <w:gridCol w:w="1529"/>
        <w:gridCol w:w="2428"/>
      </w:tblGrid>
      <w:tr w:rsidR="008E608A" w:rsidRPr="00A815B9" w14:paraId="5D3C21A6" w14:textId="77777777" w:rsidTr="001E07B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50697A3"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Année</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8F3FA44"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Production déclarée (kg)</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2D5006C"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 xml:space="preserve">Nb. </w:t>
            </w:r>
            <w:proofErr w:type="gramStart"/>
            <w:r w:rsidRPr="00A815B9">
              <w:rPr>
                <w:rFonts w:ascii="Tahoma" w:hAnsi="Tahoma" w:cs="Tahoma"/>
                <w:b/>
                <w:bCs/>
                <w:color w:val="FFFFFF"/>
                <w:sz w:val="19"/>
                <w:szCs w:val="19"/>
              </w:rPr>
              <w:t>entreprises</w:t>
            </w:r>
            <w:proofErr w:type="gramEnd"/>
            <w:r w:rsidRPr="00A815B9">
              <w:rPr>
                <w:rFonts w:ascii="Tahoma" w:hAnsi="Tahoma" w:cs="Tahoma"/>
                <w:b/>
                <w:bCs/>
                <w:color w:val="FFFFFF"/>
                <w:sz w:val="19"/>
                <w:szCs w:val="19"/>
              </w:rPr>
              <w:t xml:space="preserve"> déclarantes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07E1835"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Nb. AMSM actives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30739587"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Taux de couverture déclarative</w:t>
            </w:r>
          </w:p>
        </w:tc>
      </w:tr>
      <w:tr w:rsidR="008E608A" w:rsidRPr="00A815B9" w14:paraId="7903419C"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6E3D3B0"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2023</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D3D06D7"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62,16 kg</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93C4245"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7C71493"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B6D3E7F"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C0392B"/>
                <w:sz w:val="20"/>
                <w:szCs w:val="20"/>
              </w:rPr>
              <w:t>&lt; 13 %</w:t>
            </w:r>
          </w:p>
        </w:tc>
      </w:tr>
      <w:tr w:rsidR="008E608A" w:rsidRPr="00A815B9" w14:paraId="6246AF50"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CF8F5B6"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lastRenderedPageBreak/>
              <w:t>2024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5F6FA4B"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87,86 kg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EECEB69"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20FDEA7"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5DD9FC2"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C0392B"/>
                <w:sz w:val="20"/>
                <w:szCs w:val="20"/>
              </w:rPr>
              <w:t>&lt; 13 %</w:t>
            </w:r>
          </w:p>
        </w:tc>
      </w:tr>
      <w:tr w:rsidR="008E608A" w:rsidRPr="00A815B9" w14:paraId="5440F74E"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CC08819"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2025 (partiel)</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132007A"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23,03 kg</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648F02F"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73306D3"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B99BEFD"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E67E22"/>
                <w:sz w:val="20"/>
                <w:szCs w:val="20"/>
              </w:rPr>
              <w:t>&lt; 13 %</w:t>
            </w:r>
          </w:p>
        </w:tc>
      </w:tr>
    </w:tbl>
    <w:p w14:paraId="5B5C4DDE"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666666"/>
          <w:sz w:val="18"/>
          <w:szCs w:val="18"/>
        </w:rPr>
        <w:t xml:space="preserve">Source : </w:t>
      </w:r>
      <w:r>
        <w:rPr>
          <w:rFonts w:ascii="Tahoma" w:hAnsi="Tahoma" w:cs="Tahoma"/>
          <w:color w:val="666666"/>
          <w:sz w:val="18"/>
          <w:szCs w:val="18"/>
        </w:rPr>
        <w:t>DGCSO</w:t>
      </w:r>
      <w:r w:rsidRPr="00A815B9">
        <w:rPr>
          <w:rFonts w:ascii="Tahoma" w:hAnsi="Tahoma" w:cs="Tahoma"/>
          <w:color w:val="666666"/>
          <w:sz w:val="18"/>
          <w:szCs w:val="18"/>
        </w:rPr>
        <w:t>.</w:t>
      </w:r>
    </w:p>
    <w:p w14:paraId="7F241204"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La baisse observée en 2025 est principalement imputable à l'application du décret n° 2024-1502 portant suspension des activités minières dans la zone de la Falémé. L'ensemble de ces entreprises déclarantes affirme avoir vendu la totalité de leur production sur le marché local. Or, cette production </w:t>
      </w:r>
      <w:r>
        <w:rPr>
          <w:rFonts w:ascii="Tahoma" w:hAnsi="Tahoma" w:cs="Tahoma"/>
          <w:color w:val="000000"/>
        </w:rPr>
        <w:t>-</w:t>
      </w:r>
      <w:r w:rsidRPr="00A815B9">
        <w:rPr>
          <w:rFonts w:ascii="Tahoma" w:hAnsi="Tahoma" w:cs="Tahoma"/>
          <w:color w:val="000000"/>
        </w:rPr>
        <w:t xml:space="preserve"> constituée d'or brut non raffiné destiné à l'export </w:t>
      </w:r>
      <w:r>
        <w:rPr>
          <w:rFonts w:ascii="Tahoma" w:hAnsi="Tahoma" w:cs="Tahoma"/>
          <w:color w:val="000000"/>
        </w:rPr>
        <w:t>-</w:t>
      </w:r>
      <w:r w:rsidRPr="00A815B9">
        <w:rPr>
          <w:rFonts w:ascii="Tahoma" w:hAnsi="Tahoma" w:cs="Tahoma"/>
          <w:color w:val="000000"/>
        </w:rPr>
        <w:t xml:space="preserve"> ne figure dans aucune statistique officielle d'exportation. Ce paradoxe illustre l'ampleur de l'angle mort statistique affectant le sous-secteur.</w:t>
      </w:r>
    </w:p>
    <w:p w14:paraId="25D41186" w14:textId="77777777" w:rsidR="008E608A" w:rsidRPr="00A815B9" w:rsidRDefault="008E608A" w:rsidP="008E608A">
      <w:pPr>
        <w:pBdr>
          <w:top w:val="single" w:sz="6" w:space="6" w:color="1C6EA4"/>
          <w:left w:val="single" w:sz="18" w:space="8" w:color="1C6EA4"/>
          <w:bottom w:val="single" w:sz="6" w:space="6" w:color="1C6EA4"/>
          <w:right w:val="single" w:sz="6" w:space="6" w:color="1C6EA4"/>
        </w:pBdr>
        <w:shd w:val="clear" w:color="auto" w:fill="EBF3FB"/>
        <w:spacing w:before="160" w:after="80" w:line="276" w:lineRule="auto"/>
        <w:ind w:left="360" w:right="240"/>
        <w:jc w:val="both"/>
        <w:rPr>
          <w:rFonts w:ascii="Tahoma" w:hAnsi="Tahoma" w:cs="Tahoma"/>
        </w:rPr>
      </w:pPr>
      <w:r w:rsidRPr="00A815B9">
        <w:rPr>
          <w:rFonts w:ascii="Tahoma" w:hAnsi="Tahoma" w:cs="Tahoma"/>
          <w:color w:val="1C3A5C"/>
          <w:sz w:val="21"/>
          <w:szCs w:val="21"/>
        </w:rPr>
        <w:t>Ces volumes déclarés représentent une fraction infime de la production réelle estimée. Le rapport EMOR (2018) établissait déjà la production artisanale sénégalaise à environ 4,3 tonnes pour la seule année 2017. L'écart entre cette référence et les 62–88 kg déclarés en 2023–2024 confirme que l'essentiel de la production échappe au système déclaratif.</w:t>
      </w:r>
    </w:p>
    <w:p w14:paraId="53B11513" w14:textId="77777777" w:rsidR="008E608A" w:rsidRPr="00A815B9" w:rsidRDefault="008E608A" w:rsidP="008E608A">
      <w:pPr>
        <w:pStyle w:val="Titre2"/>
        <w:spacing w:after="80" w:line="276" w:lineRule="auto"/>
        <w:jc w:val="both"/>
        <w:rPr>
          <w:rFonts w:ascii="Tahoma" w:hAnsi="Tahoma" w:cs="Tahoma"/>
        </w:rPr>
      </w:pPr>
      <w:bookmarkStart w:id="7" w:name="_Toc230168229"/>
      <w:r w:rsidRPr="00A815B9">
        <w:rPr>
          <w:rFonts w:ascii="Tahoma" w:hAnsi="Tahoma" w:cs="Tahoma"/>
        </w:rPr>
        <w:t>1.5 Circuit de commercialisation de l'or artisanal</w:t>
      </w:r>
      <w:bookmarkEnd w:id="7"/>
    </w:p>
    <w:p w14:paraId="4B825A1C"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 commercialisation de l'or artisanal suit un schéma multi-niveaux impliquant une succession d'intermédiaires aux statuts juridiques variés. Sur les sites d'exploitation, les orpailleurs vendent prioritairement leur production à des collecteurs ou négociants locaux informels, qui agrègent les quantités avant de les revendre à des comptoirs d'achat ou à d'autres intermédiaires.</w:t>
      </w:r>
    </w:p>
    <w:p w14:paraId="62C7C6B3"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Selon les données d'enquête disponibles (2021–2022), la structure des acheteurs de la production artisanale est la suivante :</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2875"/>
        <w:gridCol w:w="2875"/>
      </w:tblGrid>
      <w:tr w:rsidR="008E608A" w:rsidRPr="00A815B9" w14:paraId="2D9B3AF4" w14:textId="77777777" w:rsidTr="001E07B7">
        <w:tblPrEx>
          <w:tblCellMar>
            <w:top w:w="0" w:type="dxa"/>
            <w:bottom w:w="0" w:type="dxa"/>
          </w:tblCellMar>
        </w:tblPrEx>
        <w:trPr>
          <w:trHeight w:val="437"/>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51EBBC3"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Catégorie d'acheteur</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715EF8C"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Part en 2021 (%)</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F93A12F"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Part en 2022 (%)</w:t>
            </w:r>
          </w:p>
        </w:tc>
      </w:tr>
      <w:tr w:rsidR="008E608A" w:rsidRPr="00A815B9" w14:paraId="0C1EECDD" w14:textId="77777777" w:rsidTr="001E07B7">
        <w:tblPrEx>
          <w:tblCellMar>
            <w:top w:w="0" w:type="dxa"/>
            <w:bottom w:w="0" w:type="dxa"/>
          </w:tblCellMar>
        </w:tblPrEx>
        <w:trPr>
          <w:trHeight w:val="259"/>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73162EE"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Revendeurs / négociants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CAD1874"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79,8 %</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7900BBC"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81,0 %</w:t>
            </w:r>
          </w:p>
        </w:tc>
      </w:tr>
      <w:tr w:rsidR="008E608A" w:rsidRPr="00A815B9" w14:paraId="1B0801B8" w14:textId="77777777" w:rsidTr="001E07B7">
        <w:tblPrEx>
          <w:tblCellMar>
            <w:top w:w="0" w:type="dxa"/>
            <w:bottom w:w="0" w:type="dxa"/>
          </w:tblCellMar>
        </w:tblPrEx>
        <w:trPr>
          <w:trHeight w:val="245"/>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9718B4A"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Bijoutiers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3F967C8"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11,2 %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20F2B97"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10,0 %</w:t>
            </w:r>
          </w:p>
        </w:tc>
      </w:tr>
      <w:tr w:rsidR="008E608A" w:rsidRPr="00A815B9" w14:paraId="28EBAD60" w14:textId="77777777" w:rsidTr="001E07B7">
        <w:tblPrEx>
          <w:tblCellMar>
            <w:top w:w="0" w:type="dxa"/>
            <w:bottom w:w="0" w:type="dxa"/>
          </w:tblCellMar>
        </w:tblPrEx>
        <w:trPr>
          <w:trHeight w:val="259"/>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D36BCBA"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Autres acheteurs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7F2DD9F"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6,2 %</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B2D037E"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5,9 %</w:t>
            </w:r>
          </w:p>
        </w:tc>
      </w:tr>
      <w:tr w:rsidR="008E608A" w:rsidRPr="00A815B9" w14:paraId="66764D7B" w14:textId="77777777" w:rsidTr="001E07B7">
        <w:tblPrEx>
          <w:tblCellMar>
            <w:top w:w="0" w:type="dxa"/>
            <w:bottom w:w="0" w:type="dxa"/>
          </w:tblCellMar>
        </w:tblPrEx>
        <w:trPr>
          <w:trHeight w:val="259"/>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46702FB"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Exportateurs directs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EEA3F7C"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4,1 %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B924BE4"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4,0 %</w:t>
            </w:r>
          </w:p>
        </w:tc>
      </w:tr>
    </w:tbl>
    <w:p w14:paraId="63875800"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666666"/>
          <w:sz w:val="18"/>
          <w:szCs w:val="18"/>
        </w:rPr>
        <w:t>Source : Enquête de commercialisation, traitement CN-ITIE.</w:t>
      </w:r>
    </w:p>
    <w:p w14:paraId="5A47DC8D" w14:textId="77777777" w:rsidR="008E608A" w:rsidRDefault="008E608A" w:rsidP="008E608A">
      <w:pPr>
        <w:spacing w:after="80" w:line="276" w:lineRule="auto"/>
        <w:jc w:val="both"/>
        <w:rPr>
          <w:rFonts w:ascii="Tahoma" w:hAnsi="Tahoma" w:cs="Tahoma"/>
          <w:color w:val="000000"/>
        </w:rPr>
      </w:pPr>
      <w:r w:rsidRPr="00A815B9">
        <w:rPr>
          <w:rFonts w:ascii="Tahoma" w:hAnsi="Tahoma" w:cs="Tahoma"/>
          <w:color w:val="000000"/>
        </w:rPr>
        <w:t xml:space="preserve">Selon l'étude </w:t>
      </w:r>
      <w:proofErr w:type="spellStart"/>
      <w:r w:rsidRPr="00A815B9">
        <w:rPr>
          <w:rFonts w:ascii="Tahoma" w:hAnsi="Tahoma" w:cs="Tahoma"/>
          <w:color w:val="000000"/>
        </w:rPr>
        <w:t>Bertran</w:t>
      </w:r>
      <w:proofErr w:type="spellEnd"/>
      <w:r w:rsidRPr="00A815B9">
        <w:rPr>
          <w:rFonts w:ascii="Tahoma" w:hAnsi="Tahoma" w:cs="Tahoma"/>
          <w:color w:val="000000"/>
        </w:rPr>
        <w:t xml:space="preserve"> Alvarez et al. (2016) sur les filières de commercialisation de l'or artisanal sénégalais, deux routes principales structurent les flux : une route vers le Mali </w:t>
      </w:r>
      <w:r>
        <w:rPr>
          <w:rFonts w:ascii="Tahoma" w:hAnsi="Tahoma" w:cs="Tahoma"/>
          <w:color w:val="000000"/>
        </w:rPr>
        <w:t>-</w:t>
      </w:r>
      <w:r w:rsidRPr="00A815B9">
        <w:rPr>
          <w:rFonts w:ascii="Tahoma" w:hAnsi="Tahoma" w:cs="Tahoma"/>
          <w:color w:val="000000"/>
        </w:rPr>
        <w:t xml:space="preserve"> où opèrent des réseaux d'acheteurs interconnectés avec les Emirates arabes unis </w:t>
      </w:r>
      <w:r>
        <w:rPr>
          <w:rFonts w:ascii="Tahoma" w:hAnsi="Tahoma" w:cs="Tahoma"/>
          <w:color w:val="000000"/>
        </w:rPr>
        <w:t>-</w:t>
      </w:r>
      <w:r w:rsidRPr="00A815B9">
        <w:rPr>
          <w:rFonts w:ascii="Tahoma" w:hAnsi="Tahoma" w:cs="Tahoma"/>
          <w:color w:val="000000"/>
        </w:rPr>
        <w:t xml:space="preserve"> et une route vers Dakar, qui alimente principalement les bijoutiers sénégalais. La route malienne capte la majorité de la production, notamment celle issue des AMSM et des groupements informels des régions de Kédougou et Tambacounda.</w:t>
      </w:r>
    </w:p>
    <w:p w14:paraId="11E50449" w14:textId="77777777" w:rsidR="008E608A" w:rsidRDefault="008E608A" w:rsidP="008E608A">
      <w:pPr>
        <w:spacing w:after="80" w:line="276" w:lineRule="auto"/>
        <w:jc w:val="both"/>
        <w:rPr>
          <w:rFonts w:ascii="Tahoma" w:hAnsi="Tahoma" w:cs="Tahoma"/>
          <w:color w:val="000000"/>
        </w:rPr>
      </w:pPr>
      <w:r>
        <w:rPr>
          <w:rFonts w:ascii="Tahoma" w:hAnsi="Tahoma" w:cs="Tahoma"/>
          <w:color w:val="000000"/>
        </w:rPr>
        <w:t>L</w:t>
      </w:r>
      <w:r w:rsidRPr="00AF0537">
        <w:rPr>
          <w:rFonts w:ascii="Tahoma" w:hAnsi="Tahoma" w:cs="Tahoma"/>
          <w:color w:val="000000"/>
        </w:rPr>
        <w:t>es éléments rassemblés</w:t>
      </w:r>
      <w:r>
        <w:rPr>
          <w:rFonts w:ascii="Tahoma" w:hAnsi="Tahoma" w:cs="Tahoma"/>
          <w:color w:val="000000"/>
        </w:rPr>
        <w:t xml:space="preserve"> montrent</w:t>
      </w:r>
      <w:r w:rsidRPr="00AF0537">
        <w:rPr>
          <w:rFonts w:ascii="Tahoma" w:hAnsi="Tahoma" w:cs="Tahoma"/>
          <w:color w:val="000000"/>
        </w:rPr>
        <w:t xml:space="preserve"> qu’une partie importante</w:t>
      </w:r>
      <w:r>
        <w:rPr>
          <w:rFonts w:ascii="Tahoma" w:hAnsi="Tahoma" w:cs="Tahoma"/>
          <w:color w:val="000000"/>
        </w:rPr>
        <w:t xml:space="preserve"> </w:t>
      </w:r>
      <w:r w:rsidRPr="00AF0537">
        <w:rPr>
          <w:rFonts w:ascii="Tahoma" w:hAnsi="Tahoma" w:cs="Tahoma"/>
          <w:color w:val="000000"/>
        </w:rPr>
        <w:t>de la production de l’or EMAPE</w:t>
      </w:r>
      <w:r>
        <w:rPr>
          <w:rFonts w:ascii="Tahoma" w:hAnsi="Tahoma" w:cs="Tahoma"/>
          <w:color w:val="000000"/>
        </w:rPr>
        <w:t xml:space="preserve"> </w:t>
      </w:r>
      <w:r w:rsidRPr="00AF0537">
        <w:rPr>
          <w:rFonts w:ascii="Tahoma" w:hAnsi="Tahoma" w:cs="Tahoma"/>
          <w:color w:val="000000"/>
        </w:rPr>
        <w:t>est exportée du Sénégal vers les EAU sous forme d’or brut</w:t>
      </w:r>
      <w:r>
        <w:rPr>
          <w:rFonts w:ascii="Tahoma" w:hAnsi="Tahoma" w:cs="Tahoma"/>
          <w:color w:val="000000"/>
        </w:rPr>
        <w:t xml:space="preserve"> </w:t>
      </w:r>
      <w:r w:rsidRPr="00AF0537">
        <w:rPr>
          <w:rFonts w:ascii="Tahoma" w:hAnsi="Tahoma" w:cs="Tahoma"/>
          <w:color w:val="000000"/>
        </w:rPr>
        <w:t>non traité. Cette production provient incontestablement de l’exploitation artisanale</w:t>
      </w:r>
      <w:r>
        <w:rPr>
          <w:rFonts w:ascii="Tahoma" w:hAnsi="Tahoma" w:cs="Tahoma"/>
          <w:color w:val="000000"/>
        </w:rPr>
        <w:t xml:space="preserve"> </w:t>
      </w:r>
      <w:r w:rsidRPr="00AF0537">
        <w:rPr>
          <w:rFonts w:ascii="Tahoma" w:hAnsi="Tahoma" w:cs="Tahoma"/>
          <w:color w:val="000000"/>
        </w:rPr>
        <w:t>et semi-mécanisée.</w:t>
      </w:r>
    </w:p>
    <w:p w14:paraId="19E2300D" w14:textId="77777777" w:rsidR="008E608A" w:rsidRDefault="008E608A" w:rsidP="008E608A">
      <w:pPr>
        <w:spacing w:after="80" w:line="276" w:lineRule="auto"/>
        <w:jc w:val="both"/>
        <w:rPr>
          <w:rFonts w:ascii="Tahoma" w:hAnsi="Tahoma" w:cs="Tahoma"/>
          <w:color w:val="000000"/>
        </w:rPr>
      </w:pPr>
      <w:r>
        <w:rPr>
          <w:rFonts w:ascii="Tahoma" w:hAnsi="Tahoma" w:cs="Tahoma"/>
          <w:color w:val="000000"/>
        </w:rPr>
        <w:lastRenderedPageBreak/>
        <w:t>Entre 2020 et 2024, les importations de l’or vers les EAU sont estimées à 11,98 tonnes.</w:t>
      </w:r>
    </w:p>
    <w:tbl>
      <w:tblPr>
        <w:tblW w:w="5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3922"/>
      </w:tblGrid>
      <w:tr w:rsidR="008E608A" w:rsidRPr="00AF0537" w14:paraId="58347CAB" w14:textId="77777777" w:rsidTr="001E07B7">
        <w:tblPrEx>
          <w:tblCellMar>
            <w:top w:w="0" w:type="dxa"/>
            <w:bottom w:w="0" w:type="dxa"/>
          </w:tblCellMar>
        </w:tblPrEx>
        <w:trPr>
          <w:trHeight w:val="379"/>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55A19CC"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b/>
                <w:bCs/>
                <w:color w:val="FFFFFF"/>
                <w:sz w:val="20"/>
                <w:szCs w:val="20"/>
              </w:rPr>
              <w:t>Année</w:t>
            </w:r>
          </w:p>
        </w:tc>
        <w:tc>
          <w:tcPr>
            <w:tcW w:w="392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3C9C6DFE"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b/>
                <w:bCs/>
                <w:color w:val="FFFFFF"/>
                <w:sz w:val="20"/>
                <w:szCs w:val="20"/>
              </w:rPr>
              <w:t>Importations vers les EAU</w:t>
            </w:r>
          </w:p>
        </w:tc>
      </w:tr>
      <w:tr w:rsidR="008E608A" w:rsidRPr="00AF0537" w14:paraId="66E681CD" w14:textId="77777777" w:rsidTr="001E07B7">
        <w:tblPrEx>
          <w:tblCellMar>
            <w:top w:w="0" w:type="dxa"/>
            <w:bottom w:w="0" w:type="dxa"/>
          </w:tblCellMar>
        </w:tblPrEx>
        <w:trPr>
          <w:trHeight w:val="224"/>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tcPr>
          <w:p w14:paraId="709F8C54"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sz w:val="20"/>
                <w:szCs w:val="20"/>
              </w:rPr>
              <w:t>2020</w:t>
            </w:r>
          </w:p>
        </w:tc>
        <w:tc>
          <w:tcPr>
            <w:tcW w:w="392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tcPr>
          <w:p w14:paraId="33D7550C"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sz w:val="20"/>
                <w:szCs w:val="20"/>
              </w:rPr>
              <w:t xml:space="preserve">2,1189 </w:t>
            </w:r>
          </w:p>
        </w:tc>
      </w:tr>
      <w:tr w:rsidR="008E608A" w:rsidRPr="00AF0537" w14:paraId="57E028FF" w14:textId="77777777" w:rsidTr="001E07B7">
        <w:tblPrEx>
          <w:tblCellMar>
            <w:top w:w="0" w:type="dxa"/>
            <w:bottom w:w="0" w:type="dxa"/>
          </w:tblCellMar>
        </w:tblPrEx>
        <w:trPr>
          <w:trHeight w:val="211"/>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0E8A83"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sz w:val="20"/>
                <w:szCs w:val="20"/>
              </w:rPr>
              <w:t>2021</w:t>
            </w:r>
          </w:p>
        </w:tc>
        <w:tc>
          <w:tcPr>
            <w:tcW w:w="3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E492CA"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sz w:val="20"/>
                <w:szCs w:val="20"/>
              </w:rPr>
              <w:t xml:space="preserve">2,6259 </w:t>
            </w:r>
          </w:p>
        </w:tc>
      </w:tr>
      <w:tr w:rsidR="008E608A" w:rsidRPr="00AF0537" w14:paraId="49D8A11B" w14:textId="77777777" w:rsidTr="001E07B7">
        <w:tblPrEx>
          <w:tblCellMar>
            <w:top w:w="0" w:type="dxa"/>
            <w:bottom w:w="0" w:type="dxa"/>
          </w:tblCellMar>
        </w:tblPrEx>
        <w:trPr>
          <w:trHeight w:val="224"/>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tcPr>
          <w:p w14:paraId="4D91A1C4"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sz w:val="20"/>
                <w:szCs w:val="20"/>
              </w:rPr>
              <w:t>2022</w:t>
            </w:r>
          </w:p>
        </w:tc>
        <w:tc>
          <w:tcPr>
            <w:tcW w:w="392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tcPr>
          <w:p w14:paraId="66F7C1F4"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sz w:val="20"/>
                <w:szCs w:val="20"/>
              </w:rPr>
              <w:t xml:space="preserve">3,2155 </w:t>
            </w:r>
          </w:p>
        </w:tc>
      </w:tr>
      <w:tr w:rsidR="008E608A" w:rsidRPr="00AF0537" w14:paraId="47941E59" w14:textId="77777777" w:rsidTr="001E07B7">
        <w:tblPrEx>
          <w:tblCellMar>
            <w:top w:w="0" w:type="dxa"/>
            <w:bottom w:w="0" w:type="dxa"/>
          </w:tblCellMar>
        </w:tblPrEx>
        <w:trPr>
          <w:trHeight w:val="224"/>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A95F21"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sz w:val="20"/>
                <w:szCs w:val="20"/>
              </w:rPr>
              <w:t>2023</w:t>
            </w:r>
          </w:p>
        </w:tc>
        <w:tc>
          <w:tcPr>
            <w:tcW w:w="3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B3320D" w14:textId="77777777" w:rsidR="008E608A" w:rsidRPr="00AF0537" w:rsidRDefault="008E608A" w:rsidP="001E07B7">
            <w:pPr>
              <w:spacing w:after="80" w:line="276" w:lineRule="auto"/>
              <w:jc w:val="both"/>
              <w:rPr>
                <w:rFonts w:ascii="Tahoma" w:hAnsi="Tahoma" w:cs="Tahoma"/>
                <w:sz w:val="20"/>
                <w:szCs w:val="20"/>
              </w:rPr>
            </w:pPr>
            <w:r w:rsidRPr="00AF0537">
              <w:rPr>
                <w:rFonts w:ascii="Tahoma" w:hAnsi="Tahoma" w:cs="Tahoma"/>
                <w:sz w:val="20"/>
                <w:szCs w:val="20"/>
              </w:rPr>
              <w:t xml:space="preserve">4,0213 </w:t>
            </w:r>
          </w:p>
        </w:tc>
      </w:tr>
      <w:tr w:rsidR="008E608A" w:rsidRPr="00AF0537" w14:paraId="0138BBDE" w14:textId="77777777" w:rsidTr="001E07B7">
        <w:tblPrEx>
          <w:tblCellMar>
            <w:top w:w="0" w:type="dxa"/>
            <w:bottom w:w="0" w:type="dxa"/>
          </w:tblCellMar>
        </w:tblPrEx>
        <w:trPr>
          <w:trHeight w:val="224"/>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5D1F77" w14:textId="77777777" w:rsidR="008E608A" w:rsidRPr="00AF0537" w:rsidRDefault="008E608A" w:rsidP="001E07B7">
            <w:pPr>
              <w:spacing w:after="80" w:line="276" w:lineRule="auto"/>
              <w:jc w:val="both"/>
              <w:rPr>
                <w:rFonts w:ascii="Tahoma" w:hAnsi="Tahoma" w:cs="Tahoma"/>
                <w:b/>
                <w:bCs/>
                <w:color w:val="000000"/>
                <w:sz w:val="20"/>
                <w:szCs w:val="20"/>
              </w:rPr>
            </w:pPr>
            <w:r w:rsidRPr="00AF0537">
              <w:rPr>
                <w:rFonts w:ascii="Tahoma" w:hAnsi="Tahoma" w:cs="Tahoma"/>
                <w:b/>
                <w:bCs/>
                <w:sz w:val="20"/>
                <w:szCs w:val="20"/>
              </w:rPr>
              <w:t>Total</w:t>
            </w:r>
          </w:p>
        </w:tc>
        <w:tc>
          <w:tcPr>
            <w:tcW w:w="3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8CD79F" w14:textId="77777777" w:rsidR="008E608A" w:rsidRPr="00AF0537" w:rsidRDefault="008E608A" w:rsidP="001E07B7">
            <w:pPr>
              <w:spacing w:after="80" w:line="276" w:lineRule="auto"/>
              <w:jc w:val="both"/>
              <w:rPr>
                <w:rFonts w:ascii="Tahoma" w:hAnsi="Tahoma" w:cs="Tahoma"/>
                <w:b/>
                <w:bCs/>
                <w:color w:val="000000"/>
                <w:sz w:val="20"/>
                <w:szCs w:val="20"/>
              </w:rPr>
            </w:pPr>
            <w:r w:rsidRPr="00AF0537">
              <w:rPr>
                <w:rFonts w:ascii="Tahoma" w:hAnsi="Tahoma" w:cs="Tahoma"/>
                <w:b/>
                <w:bCs/>
                <w:sz w:val="20"/>
                <w:szCs w:val="20"/>
              </w:rPr>
              <w:t xml:space="preserve">11,9815 </w:t>
            </w:r>
          </w:p>
        </w:tc>
      </w:tr>
    </w:tbl>
    <w:p w14:paraId="788BE399" w14:textId="77777777" w:rsidR="008E608A" w:rsidRPr="00A815B9" w:rsidRDefault="008E608A" w:rsidP="008E608A">
      <w:pPr>
        <w:spacing w:after="80" w:line="276" w:lineRule="auto"/>
        <w:jc w:val="both"/>
        <w:rPr>
          <w:rFonts w:ascii="Tahoma" w:hAnsi="Tahoma" w:cs="Tahoma"/>
        </w:rPr>
      </w:pPr>
    </w:p>
    <w:p w14:paraId="29A76E61" w14:textId="77777777" w:rsidR="008E608A" w:rsidRPr="00A815B9" w:rsidRDefault="008E608A" w:rsidP="008E608A">
      <w:pPr>
        <w:pBdr>
          <w:top w:val="single" w:sz="6" w:space="6" w:color="E67E22"/>
          <w:left w:val="single" w:sz="18" w:space="8" w:color="E67E22"/>
          <w:bottom w:val="single" w:sz="6" w:space="6" w:color="E67E22"/>
          <w:right w:val="single" w:sz="6" w:space="6" w:color="E67E22"/>
        </w:pBdr>
        <w:shd w:val="clear" w:color="auto" w:fill="FFF3CD"/>
        <w:spacing w:before="160" w:after="80" w:line="276" w:lineRule="auto"/>
        <w:ind w:left="360" w:right="240"/>
        <w:jc w:val="both"/>
        <w:rPr>
          <w:rFonts w:ascii="Tahoma" w:hAnsi="Tahoma" w:cs="Tahoma"/>
        </w:rPr>
      </w:pPr>
      <w:r w:rsidRPr="00A815B9">
        <w:rPr>
          <w:rFonts w:ascii="Tahoma" w:hAnsi="Tahoma" w:cs="Tahoma"/>
          <w:color w:val="1C3A5C"/>
          <w:sz w:val="21"/>
          <w:szCs w:val="21"/>
        </w:rPr>
        <w:t>Les comptoirs d'achat officiels, bien que prévus par la réglementation (arrêté de 2014), souffrent de difficultés structurelles : éloignement des sites, insuffisance de moyens financiers, concurrence des réseaux informels et vente à des acheteurs non agréés. Ces défaillances engendrent une commercialisation quasi-exclusivement informelle et une traçabilité quasi-inexistante de l'or jusqu'à l'export.</w:t>
      </w:r>
    </w:p>
    <w:p w14:paraId="17423FC1" w14:textId="77777777" w:rsidR="008E608A" w:rsidRPr="00A815B9" w:rsidRDefault="008E608A" w:rsidP="008E608A">
      <w:pPr>
        <w:pStyle w:val="Titre2"/>
        <w:spacing w:after="80" w:line="276" w:lineRule="auto"/>
        <w:jc w:val="both"/>
        <w:rPr>
          <w:rFonts w:ascii="Tahoma" w:hAnsi="Tahoma" w:cs="Tahoma"/>
        </w:rPr>
      </w:pPr>
      <w:bookmarkStart w:id="8" w:name="_Toc230168230"/>
      <w:r w:rsidRPr="00A815B9">
        <w:rPr>
          <w:rFonts w:ascii="Tahoma" w:hAnsi="Tahoma" w:cs="Tahoma"/>
        </w:rPr>
        <w:t>1.6 Exportation de l'or artisanal</w:t>
      </w:r>
      <w:bookmarkEnd w:id="8"/>
    </w:p>
    <w:p w14:paraId="639491A6"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L'exportation de l'or devrait être enregistrée par l'Administration des Douanes (DGD), qui constitue la principale source de données sur les volumes, valeurs et pays de destination. La </w:t>
      </w:r>
      <w:r>
        <w:rPr>
          <w:rFonts w:ascii="Tahoma" w:hAnsi="Tahoma" w:cs="Tahoma"/>
          <w:color w:val="000000"/>
        </w:rPr>
        <w:t>Direction du Contrôle et de la Surveillance des Opérations minières (</w:t>
      </w:r>
      <w:r w:rsidRPr="00A815B9">
        <w:rPr>
          <w:rFonts w:ascii="Tahoma" w:hAnsi="Tahoma" w:cs="Tahoma"/>
          <w:color w:val="000000"/>
        </w:rPr>
        <w:t>DCSOM</w:t>
      </w:r>
      <w:r>
        <w:rPr>
          <w:rFonts w:ascii="Tahoma" w:hAnsi="Tahoma" w:cs="Tahoma"/>
          <w:color w:val="000000"/>
        </w:rPr>
        <w:t>)</w:t>
      </w:r>
      <w:r w:rsidRPr="00A815B9">
        <w:rPr>
          <w:rFonts w:ascii="Tahoma" w:hAnsi="Tahoma" w:cs="Tahoma"/>
          <w:color w:val="000000"/>
        </w:rPr>
        <w:t xml:space="preserve"> intervient en amont pour vérifier la conformité des déclarations par rapport aux quantités extraites et vendues.</w:t>
      </w:r>
    </w:p>
    <w:p w14:paraId="55A47288"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Cependant, les statistiques douanières n'opèrent pas de distinction systématique entre l'or issu de l'EMAPE et l'or industriel. Les données d'exportation sont agrégées sous le code HS 7108, sans ventilation par source de production, ce qui rend impossible tout suivi analytique sectoriel à partir des seules données douanières nationales.</w:t>
      </w:r>
    </w:p>
    <w:p w14:paraId="20CAB475"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Cette absence de traçabilité statistique par origine constitue le principal défi méthodologique pour l'analyse ITIE et la réconciliation des flux commerciaux du sous-secteur.</w:t>
      </w:r>
    </w:p>
    <w:p w14:paraId="1B79B94F" w14:textId="77777777" w:rsidR="008E608A" w:rsidRPr="00A815B9" w:rsidRDefault="008E608A" w:rsidP="008E608A">
      <w:pPr>
        <w:pStyle w:val="Titre1"/>
        <w:spacing w:after="80" w:line="276" w:lineRule="auto"/>
        <w:jc w:val="both"/>
        <w:rPr>
          <w:rFonts w:ascii="Tahoma" w:hAnsi="Tahoma" w:cs="Tahoma"/>
        </w:rPr>
      </w:pPr>
      <w:bookmarkStart w:id="9" w:name="_Toc230168231"/>
      <w:r w:rsidRPr="00A815B9">
        <w:rPr>
          <w:rFonts w:ascii="Tahoma" w:hAnsi="Tahoma" w:cs="Tahoma"/>
        </w:rPr>
        <w:t>5. Problématique et obstacles liés à la publication des données EMAPE</w:t>
      </w:r>
      <w:bookmarkEnd w:id="9"/>
    </w:p>
    <w:p w14:paraId="27C6C625" w14:textId="77777777" w:rsidR="008E608A" w:rsidRPr="00A815B9" w:rsidRDefault="008E608A" w:rsidP="008E608A">
      <w:pPr>
        <w:pStyle w:val="Titre2"/>
        <w:spacing w:after="80" w:line="276" w:lineRule="auto"/>
        <w:jc w:val="both"/>
        <w:rPr>
          <w:rFonts w:ascii="Tahoma" w:hAnsi="Tahoma" w:cs="Tahoma"/>
        </w:rPr>
      </w:pPr>
      <w:bookmarkStart w:id="10" w:name="_Toc230168232"/>
      <w:r w:rsidRPr="00A815B9">
        <w:rPr>
          <w:rFonts w:ascii="Tahoma" w:hAnsi="Tahoma" w:cs="Tahoma"/>
        </w:rPr>
        <w:t>5.1 Insuffisance structurelle des données fiables</w:t>
      </w:r>
      <w:bookmarkEnd w:id="10"/>
    </w:p>
    <w:p w14:paraId="0FAC46FF"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L'insuffisance de données statistiques fiables sur l'EMAPE constitue un obstacle transversal affectant l'ensemble du sous-secteur : production, commercialisation, exportation et destination finale. Cette défaillance est structurellement liée à l'informalité dominante du sous-secteur.</w:t>
      </w:r>
    </w:p>
    <w:p w14:paraId="5F2C5809"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L'activité est caractérisée par la haute mobilité des orpailleurs, la multiplicité des sites clandestins non déclarés, la présence d'acteurs informels à chaque maillon de la chaîne de valeur, et l'organisation communautaire traditionnelle de la production </w:t>
      </w:r>
      <w:r>
        <w:rPr>
          <w:rFonts w:ascii="Tahoma" w:hAnsi="Tahoma" w:cs="Tahoma"/>
          <w:color w:val="000000"/>
        </w:rPr>
        <w:t>-</w:t>
      </w:r>
      <w:r w:rsidRPr="00A815B9">
        <w:rPr>
          <w:rFonts w:ascii="Tahoma" w:hAnsi="Tahoma" w:cs="Tahoma"/>
          <w:color w:val="000000"/>
        </w:rPr>
        <w:t xml:space="preserve"> fondée sur des systèmes internes de partage des minerais qui ne génèrent aucune trace documentaire.</w:t>
      </w:r>
    </w:p>
    <w:p w14:paraId="433A4256" w14:textId="77777777" w:rsidR="008E608A" w:rsidRPr="00A815B9" w:rsidRDefault="008E608A" w:rsidP="008E608A">
      <w:pPr>
        <w:pBdr>
          <w:top w:val="single" w:sz="6" w:space="6" w:color="1C6EA4"/>
          <w:left w:val="single" w:sz="18" w:space="8" w:color="1C6EA4"/>
          <w:bottom w:val="single" w:sz="6" w:space="6" w:color="1C6EA4"/>
          <w:right w:val="single" w:sz="6" w:space="6" w:color="1C6EA4"/>
        </w:pBdr>
        <w:shd w:val="clear" w:color="auto" w:fill="EBF3FB"/>
        <w:spacing w:before="160" w:after="80" w:line="276" w:lineRule="auto"/>
        <w:ind w:left="360" w:right="240"/>
        <w:jc w:val="both"/>
        <w:rPr>
          <w:rFonts w:ascii="Tahoma" w:hAnsi="Tahoma" w:cs="Tahoma"/>
        </w:rPr>
      </w:pPr>
      <w:r w:rsidRPr="00A815B9">
        <w:rPr>
          <w:rFonts w:ascii="Tahoma" w:hAnsi="Tahoma" w:cs="Tahoma"/>
          <w:color w:val="1C3A5C"/>
          <w:sz w:val="21"/>
          <w:szCs w:val="21"/>
        </w:rPr>
        <w:lastRenderedPageBreak/>
        <w:t xml:space="preserve">Le rapport EMOR (juillet 2018) estimait la production artisanale sénégalaise à 4,3 tonnes pour 2017, générant une valeur ajoutée de 77,6 milliards FCFA et employant plus de 32 000 personnes directement. L'ANSD a initié en 2023 une étude monographique actualisée sur l'EMAPE </w:t>
      </w:r>
      <w:r>
        <w:rPr>
          <w:rFonts w:ascii="Tahoma" w:hAnsi="Tahoma" w:cs="Tahoma"/>
          <w:color w:val="1C3A5C"/>
          <w:sz w:val="21"/>
          <w:szCs w:val="21"/>
        </w:rPr>
        <w:t>-</w:t>
      </w:r>
      <w:r w:rsidRPr="00A815B9">
        <w:rPr>
          <w:rFonts w:ascii="Tahoma" w:hAnsi="Tahoma" w:cs="Tahoma"/>
          <w:color w:val="1C3A5C"/>
          <w:sz w:val="21"/>
          <w:szCs w:val="21"/>
        </w:rPr>
        <w:t xml:space="preserve"> non encore publiée à ce jour. L'absence de mise à jour de ces données de référence illustre l'ampleur du déficit statistique.</w:t>
      </w:r>
    </w:p>
    <w:p w14:paraId="2D0FBAC1" w14:textId="77777777" w:rsidR="008E608A" w:rsidRPr="00A815B9" w:rsidRDefault="008E608A" w:rsidP="008E608A">
      <w:pPr>
        <w:pStyle w:val="Titre2"/>
        <w:spacing w:after="80" w:line="276" w:lineRule="auto"/>
        <w:jc w:val="both"/>
        <w:rPr>
          <w:rFonts w:ascii="Tahoma" w:hAnsi="Tahoma" w:cs="Tahoma"/>
        </w:rPr>
      </w:pPr>
      <w:bookmarkStart w:id="11" w:name="_Toc230168233"/>
      <w:r w:rsidRPr="00A815B9">
        <w:rPr>
          <w:rFonts w:ascii="Tahoma" w:hAnsi="Tahoma" w:cs="Tahoma"/>
        </w:rPr>
        <w:t>5.2 Faible traçabilité de l'or artisanal</w:t>
      </w:r>
      <w:bookmarkEnd w:id="11"/>
    </w:p>
    <w:p w14:paraId="4F7C4BF7"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La faible traçabilité constitue le maillon faible central du dispositif de gouvernance. La chaîne de valeur de l'or artisanal implique au minimum six niveaux d'acteurs </w:t>
      </w:r>
      <w:r>
        <w:rPr>
          <w:rFonts w:ascii="Tahoma" w:hAnsi="Tahoma" w:cs="Tahoma"/>
          <w:color w:val="000000"/>
        </w:rPr>
        <w:t>-</w:t>
      </w:r>
      <w:r w:rsidRPr="00A815B9">
        <w:rPr>
          <w:rFonts w:ascii="Tahoma" w:hAnsi="Tahoma" w:cs="Tahoma"/>
          <w:color w:val="000000"/>
        </w:rPr>
        <w:t xml:space="preserve"> orpailleurs, collecteurs, négociants, comptoirs d'achat, exportateurs, affineurs </w:t>
      </w:r>
      <w:r>
        <w:rPr>
          <w:rFonts w:ascii="Tahoma" w:hAnsi="Tahoma" w:cs="Tahoma"/>
          <w:color w:val="000000"/>
        </w:rPr>
        <w:t>-</w:t>
      </w:r>
      <w:r w:rsidRPr="00A815B9">
        <w:rPr>
          <w:rFonts w:ascii="Tahoma" w:hAnsi="Tahoma" w:cs="Tahoma"/>
          <w:color w:val="000000"/>
        </w:rPr>
        <w:t xml:space="preserve"> sans qu'aucune documentation systématique ne soit produite entre ces niveaux.</w:t>
      </w:r>
    </w:p>
    <w:p w14:paraId="6E7B1201"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Les conséquences analytiques sont directes :</w:t>
      </w:r>
    </w:p>
    <w:p w14:paraId="026E90F3"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Impossibilité d'estimer la production réelle au niveau des sites.</w:t>
      </w:r>
    </w:p>
    <w:p w14:paraId="66BB72FF"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Absence de suivi des quantités commercialisées à chaque transfert de propriété.</w:t>
      </w:r>
    </w:p>
    <w:p w14:paraId="40378DBC"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Impossibilité d'identifier les pays de destination finale (vs pays de transit).</w:t>
      </w:r>
    </w:p>
    <w:p w14:paraId="2E4541C3"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Incapacité à mobiliser les recettes fiscales et minières dues sur les exportations réelles.</w:t>
      </w:r>
    </w:p>
    <w:p w14:paraId="31F88EDD"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Impossibilité de se conformer aux exigences de devoir de diligence de l'OCDE et du Règlement UE sur les Minerais Responsables.</w:t>
      </w:r>
    </w:p>
    <w:p w14:paraId="278D7088" w14:textId="77777777" w:rsidR="008E608A" w:rsidRPr="00A815B9" w:rsidRDefault="008E608A" w:rsidP="008E608A">
      <w:pPr>
        <w:pStyle w:val="Titre2"/>
        <w:spacing w:after="80" w:line="276" w:lineRule="auto"/>
        <w:jc w:val="both"/>
        <w:rPr>
          <w:rFonts w:ascii="Tahoma" w:hAnsi="Tahoma" w:cs="Tahoma"/>
        </w:rPr>
      </w:pPr>
      <w:bookmarkStart w:id="12" w:name="_Toc230168234"/>
      <w:r w:rsidRPr="00A815B9">
        <w:rPr>
          <w:rFonts w:ascii="Tahoma" w:hAnsi="Tahoma" w:cs="Tahoma"/>
        </w:rPr>
        <w:t>5.3 Importance des exportations informelles et transit malien</w:t>
      </w:r>
      <w:bookmarkEnd w:id="12"/>
    </w:p>
    <w:p w14:paraId="7822C661"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Une part prépondérante de l'or artisanal sénégalais est exportée via des circuits informels, notamment en raison de la porosité des frontières terrestres avec le Mali, la Guinée et la Gambie. Selon l'étude </w:t>
      </w:r>
      <w:proofErr w:type="spellStart"/>
      <w:r w:rsidRPr="00A815B9">
        <w:rPr>
          <w:rFonts w:ascii="Tahoma" w:hAnsi="Tahoma" w:cs="Tahoma"/>
          <w:color w:val="000000"/>
        </w:rPr>
        <w:t>Bertran</w:t>
      </w:r>
      <w:proofErr w:type="spellEnd"/>
      <w:r w:rsidRPr="00A815B9">
        <w:rPr>
          <w:rFonts w:ascii="Tahoma" w:hAnsi="Tahoma" w:cs="Tahoma"/>
          <w:color w:val="000000"/>
        </w:rPr>
        <w:t xml:space="preserve"> Alvarez et al. (2016), la route malienne capte la majorité de la production des régions de Kédougou et Tambacounda. Ces exportations informelles échappent intégralement aux statistiques douanières sénégalaises et ne figurent pas dans les rapports ITIE.</w:t>
      </w:r>
    </w:p>
    <w:p w14:paraId="6921612F"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Le phénomène de transit malien complexifie en outre l'analyse miroir : l'or sénégalais exporté vers le Mali puis réexporté vers Dubaï sera comptabilisé comme exportation malienne dans les statistiques </w:t>
      </w:r>
      <w:proofErr w:type="spellStart"/>
      <w:r w:rsidRPr="00A815B9">
        <w:rPr>
          <w:rFonts w:ascii="Tahoma" w:hAnsi="Tahoma" w:cs="Tahoma"/>
          <w:color w:val="000000"/>
        </w:rPr>
        <w:t>Comtrade</w:t>
      </w:r>
      <w:proofErr w:type="spellEnd"/>
      <w:r w:rsidRPr="00A815B9">
        <w:rPr>
          <w:rFonts w:ascii="Tahoma" w:hAnsi="Tahoma" w:cs="Tahoma"/>
          <w:color w:val="000000"/>
        </w:rPr>
        <w:t xml:space="preserve"> des EAU, et non comme exportation sénégalaise. Cet effet de triangulation contribue à la sous-estimation systématique des exportations sénégalaises déclarées.</w:t>
      </w:r>
    </w:p>
    <w:p w14:paraId="409A4248" w14:textId="77777777" w:rsidR="008E608A" w:rsidRPr="00A815B9" w:rsidRDefault="008E608A" w:rsidP="008E608A">
      <w:pPr>
        <w:pBdr>
          <w:top w:val="single" w:sz="6" w:space="6" w:color="E67E22"/>
          <w:left w:val="single" w:sz="18" w:space="8" w:color="E67E22"/>
          <w:bottom w:val="single" w:sz="6" w:space="6" w:color="E67E22"/>
          <w:right w:val="single" w:sz="6" w:space="6" w:color="E67E22"/>
        </w:pBdr>
        <w:shd w:val="clear" w:color="auto" w:fill="FFF3CD"/>
        <w:spacing w:before="160" w:after="80" w:line="276" w:lineRule="auto"/>
        <w:ind w:left="360" w:right="240"/>
        <w:jc w:val="both"/>
        <w:rPr>
          <w:rFonts w:ascii="Tahoma" w:hAnsi="Tahoma" w:cs="Tahoma"/>
        </w:rPr>
      </w:pPr>
      <w:r w:rsidRPr="00A815B9">
        <w:rPr>
          <w:rFonts w:ascii="Tahoma" w:hAnsi="Tahoma" w:cs="Tahoma"/>
          <w:color w:val="1C3A5C"/>
          <w:sz w:val="21"/>
          <w:szCs w:val="21"/>
        </w:rPr>
        <w:t xml:space="preserve">Les données UN </w:t>
      </w:r>
      <w:proofErr w:type="spellStart"/>
      <w:r w:rsidRPr="00A815B9">
        <w:rPr>
          <w:rFonts w:ascii="Tahoma" w:hAnsi="Tahoma" w:cs="Tahoma"/>
          <w:color w:val="1C3A5C"/>
          <w:sz w:val="21"/>
          <w:szCs w:val="21"/>
        </w:rPr>
        <w:t>Comtrade</w:t>
      </w:r>
      <w:proofErr w:type="spellEnd"/>
      <w:r w:rsidRPr="00A815B9">
        <w:rPr>
          <w:rFonts w:ascii="Tahoma" w:hAnsi="Tahoma" w:cs="Tahoma"/>
          <w:color w:val="1C3A5C"/>
          <w:sz w:val="21"/>
          <w:szCs w:val="21"/>
        </w:rPr>
        <w:t xml:space="preserve"> présentées dans ce rapport reflètent uniquement les flux passant par des circuits déclaratifs formels. Compte tenu du transit malien documenté, les exportations réelles d'or d'origine sénégalaise vers les EAU sont vraisemblablement très supérieures aux 4,0 t déclarées en 2023.</w:t>
      </w:r>
    </w:p>
    <w:p w14:paraId="78EDA7CF" w14:textId="77777777" w:rsidR="008E608A" w:rsidRPr="00A815B9" w:rsidRDefault="008E608A" w:rsidP="008E608A">
      <w:pPr>
        <w:pStyle w:val="Titre2"/>
        <w:spacing w:after="80" w:line="276" w:lineRule="auto"/>
        <w:jc w:val="both"/>
        <w:rPr>
          <w:rFonts w:ascii="Tahoma" w:hAnsi="Tahoma" w:cs="Tahoma"/>
        </w:rPr>
      </w:pPr>
      <w:bookmarkStart w:id="13" w:name="_Toc230168235"/>
      <w:r w:rsidRPr="00A815B9">
        <w:rPr>
          <w:rFonts w:ascii="Tahoma" w:hAnsi="Tahoma" w:cs="Tahoma"/>
        </w:rPr>
        <w:t>5.4 Difficultés de suivi des pays de destination</w:t>
      </w:r>
      <w:bookmarkEnd w:id="13"/>
    </w:p>
    <w:p w14:paraId="504BA05E"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Outre l'effet de transit, plusieurs facteurs compliquent l'identification des pays de destination finale :</w:t>
      </w:r>
    </w:p>
    <w:p w14:paraId="00540CD8"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Enregistrement du pays d'expédition (transit) plutôt que du pays de destination finale dans les déclarations douanières nationales.</w:t>
      </w:r>
    </w:p>
    <w:p w14:paraId="337D7404"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Utilisation de routes d'exportation fragmentées (Sénégal → Mali → Dubaï, ou Sénégal → Guinée → Dubaï), rendant difficile la reconstitution des chaînes.</w:t>
      </w:r>
    </w:p>
    <w:p w14:paraId="6ED8841C"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lastRenderedPageBreak/>
        <w:t>Pratiques de mélange (</w:t>
      </w:r>
      <w:proofErr w:type="spellStart"/>
      <w:r w:rsidRPr="00A815B9">
        <w:rPr>
          <w:rFonts w:ascii="Tahoma" w:hAnsi="Tahoma" w:cs="Tahoma"/>
        </w:rPr>
        <w:t>blending</w:t>
      </w:r>
      <w:proofErr w:type="spellEnd"/>
      <w:r w:rsidRPr="00A815B9">
        <w:rPr>
          <w:rFonts w:ascii="Tahoma" w:hAnsi="Tahoma" w:cs="Tahoma"/>
        </w:rPr>
        <w:t>) dans les centres de raffinage (Suisse, EAU) qui effacent les codes d'origine après transformation.</w:t>
      </w:r>
    </w:p>
    <w:p w14:paraId="0351196A"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Absence de mécanisme de données douanières bilatérales en temps réel entre le Sénégal et ses principaux partenaires commerciaux dans l'or.</w:t>
      </w:r>
    </w:p>
    <w:p w14:paraId="5948B912" w14:textId="77777777" w:rsidR="008E608A" w:rsidRPr="00A815B9" w:rsidRDefault="008E608A" w:rsidP="008E608A">
      <w:pPr>
        <w:pStyle w:val="Titre2"/>
        <w:spacing w:after="80" w:line="276" w:lineRule="auto"/>
        <w:jc w:val="both"/>
        <w:rPr>
          <w:rFonts w:ascii="Tahoma" w:hAnsi="Tahoma" w:cs="Tahoma"/>
        </w:rPr>
      </w:pPr>
      <w:bookmarkStart w:id="14" w:name="_Toc230168236"/>
      <w:r w:rsidRPr="00A815B9">
        <w:rPr>
          <w:rFonts w:ascii="Tahoma" w:hAnsi="Tahoma" w:cs="Tahoma"/>
        </w:rPr>
        <w:t>5.5 Absence de publication systématique des données</w:t>
      </w:r>
      <w:bookmarkEnd w:id="14"/>
    </w:p>
    <w:p w14:paraId="55F0BEE8"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Les données relatives à l'EMAPE sont théoriquement disponibles auprès de plusieurs structures : administration minière (DGMG, DCSOM), services des douanes (DGD), direction de la monnaie et du crédit, et ANSD. Cependant, aucun mécanisme formel de centralisation, d'harmonisation et de publication régulière de ces informations n'existe.</w:t>
      </w:r>
    </w:p>
    <w:p w14:paraId="0FD8B32F"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Cette situation génère trois types de défaillances cumulatives :</w:t>
      </w:r>
    </w:p>
    <w:p w14:paraId="075ED0F1"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Défaillance de collecte : les données primaires ne sont pas systématiquement recueillies (taux de déclaration &lt; 13 % parmi les titulaires AMSM).</w:t>
      </w:r>
    </w:p>
    <w:p w14:paraId="5B82703C"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Défaillance de centralisation : chaque administration détient des données sectorielles non interconnectées, sans dénominateur commun.</w:t>
      </w:r>
    </w:p>
    <w:p w14:paraId="3618A0F6"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Défaillance de publication : même les données disponibles ne font pas l'objet d'une diffusion régulière et accessible, compromettant la conformité aux exigences de transparence de la Norme ITIE 2023.</w:t>
      </w:r>
    </w:p>
    <w:p w14:paraId="69E3DE2C" w14:textId="77777777" w:rsidR="008E608A" w:rsidRPr="00A815B9" w:rsidRDefault="008E608A" w:rsidP="008E608A">
      <w:pPr>
        <w:pStyle w:val="Titre2"/>
        <w:spacing w:after="80" w:line="276" w:lineRule="auto"/>
        <w:jc w:val="both"/>
        <w:rPr>
          <w:rFonts w:ascii="Tahoma" w:hAnsi="Tahoma" w:cs="Tahoma"/>
        </w:rPr>
      </w:pPr>
      <w:bookmarkStart w:id="15" w:name="_Toc230168237"/>
      <w:r w:rsidRPr="00A815B9">
        <w:rPr>
          <w:rFonts w:ascii="Tahoma" w:hAnsi="Tahoma" w:cs="Tahoma"/>
        </w:rPr>
        <w:t>5.6 Enjeux pour l'État : recettes, statistiques et transparence ITIE</w:t>
      </w:r>
      <w:bookmarkEnd w:id="15"/>
    </w:p>
    <w:p w14:paraId="65CF31E5"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 défaillance du système de données EMAPE engendre des pertes multidimensionnelles pour l'État sénégalais :</w:t>
      </w:r>
    </w:p>
    <w:p w14:paraId="58BA1E51" w14:textId="77777777" w:rsidR="008E608A" w:rsidRPr="00A815B9" w:rsidRDefault="008E608A" w:rsidP="008E608A">
      <w:pPr>
        <w:spacing w:after="80" w:line="276" w:lineRule="auto"/>
        <w:jc w:val="both"/>
        <w:rPr>
          <w:rFonts w:ascii="Tahoma" w:hAnsi="Tahoma" w:cs="Tahoma"/>
        </w:r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480"/>
      </w:tblGrid>
      <w:tr w:rsidR="008E608A" w:rsidRPr="00A815B9" w14:paraId="3F816B5F" w14:textId="77777777" w:rsidTr="001E07B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729FA7D"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Dimension</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07B9149"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Impact de la défaillance statistique</w:t>
            </w:r>
          </w:p>
        </w:tc>
      </w:tr>
      <w:tr w:rsidR="008E608A" w:rsidRPr="00A815B9" w14:paraId="5A164FF4"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300EAC9"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Recettes fiscales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53C019A"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Sous-mobilisation des redevances minières, taxes d'exportation et impôts dus sur la production réelle. L'écart cumulé de 25,4 t représente ~43 M USD de base imposable non couverte (à 3 %).</w:t>
            </w:r>
          </w:p>
        </w:tc>
      </w:tr>
      <w:tr w:rsidR="008E608A" w:rsidRPr="00A815B9" w14:paraId="76465784"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50629C5"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Statistiques nationales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87D3425"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Sous-estimation de la contribution de l'EMAPE au PIB et aux exportations nationales. L'étude ANSD 2023 non publiée prive les comptes nationaux d'une mise à jour essentielle.</w:t>
            </w:r>
          </w:p>
        </w:tc>
      </w:tr>
      <w:tr w:rsidR="008E608A" w:rsidRPr="00A815B9" w14:paraId="3611BA4B"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3984856"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Transparence ITIE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41BB595"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Non-conformité partielle avec l'Exigence 6.3 de la Norme ITIE 2023 portant sur la publication de données sur les revenus informels et l'EMAPE.</w:t>
            </w:r>
          </w:p>
        </w:tc>
      </w:tr>
      <w:tr w:rsidR="008E608A" w:rsidRPr="00A815B9" w14:paraId="6F1067E6"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124ACAE"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Traçabilité / Devoir de diligence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7017C75"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Impossibilité de respecter le Guide OCDE sur le devoir de diligence et le Règlement UE sur les Minerais Responsables, risquant d'exclure l'or sénégalais des marchés européens.</w:t>
            </w:r>
          </w:p>
        </w:tc>
      </w:tr>
      <w:tr w:rsidR="008E608A" w:rsidRPr="00A815B9" w14:paraId="4E9931E1"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36EC2C3"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Gouvernance sectorielle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B32955F"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Absence de base probante pour les décisions de politique publique (délimitation de couloirs, fixation des redevances, évaluation des programmes de formalisation).</w:t>
            </w:r>
          </w:p>
        </w:tc>
      </w:tr>
    </w:tbl>
    <w:p w14:paraId="661B72CE" w14:textId="77777777" w:rsidR="008E608A" w:rsidRPr="00A815B9" w:rsidRDefault="008E608A" w:rsidP="008E608A">
      <w:pPr>
        <w:spacing w:after="80" w:line="276" w:lineRule="auto"/>
        <w:jc w:val="both"/>
        <w:rPr>
          <w:rFonts w:ascii="Tahoma" w:hAnsi="Tahoma" w:cs="Tahoma"/>
        </w:rPr>
      </w:pPr>
    </w:p>
    <w:p w14:paraId="46104285" w14:textId="77777777" w:rsidR="008E608A" w:rsidRPr="00A815B9" w:rsidRDefault="008E608A" w:rsidP="008E608A">
      <w:pPr>
        <w:spacing w:after="80" w:line="276" w:lineRule="auto"/>
        <w:jc w:val="both"/>
        <w:rPr>
          <w:rFonts w:ascii="Tahoma" w:hAnsi="Tahoma" w:cs="Tahoma"/>
        </w:rPr>
      </w:pPr>
      <w:r w:rsidRPr="00A815B9">
        <w:rPr>
          <w:rFonts w:ascii="Tahoma" w:hAnsi="Tahoma" w:cs="Tahoma"/>
        </w:rPr>
        <w:br w:type="page"/>
      </w:r>
    </w:p>
    <w:p w14:paraId="78D4C18E" w14:textId="77777777" w:rsidR="008E608A" w:rsidRPr="00A815B9" w:rsidRDefault="008E608A" w:rsidP="008E608A">
      <w:pPr>
        <w:pStyle w:val="Titre1"/>
        <w:spacing w:after="80" w:line="276" w:lineRule="auto"/>
        <w:jc w:val="both"/>
        <w:rPr>
          <w:rFonts w:ascii="Tahoma" w:hAnsi="Tahoma" w:cs="Tahoma"/>
        </w:rPr>
      </w:pPr>
      <w:bookmarkStart w:id="16" w:name="_Toc230168238"/>
      <w:r w:rsidRPr="00A815B9">
        <w:rPr>
          <w:rFonts w:ascii="Tahoma" w:hAnsi="Tahoma" w:cs="Tahoma"/>
        </w:rPr>
        <w:lastRenderedPageBreak/>
        <w:t>6. Obstacles à la publication exhaustive des données EMAPE</w:t>
      </w:r>
      <w:bookmarkEnd w:id="16"/>
    </w:p>
    <w:p w14:paraId="15124B3E" w14:textId="77777777" w:rsidR="008E608A" w:rsidRPr="00A815B9" w:rsidRDefault="008E608A" w:rsidP="008E608A">
      <w:pPr>
        <w:pStyle w:val="Titre2"/>
        <w:spacing w:after="80" w:line="276" w:lineRule="auto"/>
        <w:jc w:val="both"/>
        <w:rPr>
          <w:rFonts w:ascii="Tahoma" w:hAnsi="Tahoma" w:cs="Tahoma"/>
        </w:rPr>
      </w:pPr>
      <w:bookmarkStart w:id="17" w:name="_Toc230168239"/>
      <w:r w:rsidRPr="00A815B9">
        <w:rPr>
          <w:rFonts w:ascii="Tahoma" w:hAnsi="Tahoma" w:cs="Tahoma"/>
        </w:rPr>
        <w:t>6.1 Obstacles institutionnels</w:t>
      </w:r>
      <w:bookmarkEnd w:id="17"/>
    </w:p>
    <w:p w14:paraId="79DD374D"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 fragmentation institutionnelle constitue l'obstacle de gouvernance le plus structurant. Plusieurs administrations interviennent dans la chaîne de collecte des données EMAPE sans qu'aucune d'elles ne dispose d'un mandat clair de centralisation et de publication :</w:t>
      </w:r>
    </w:p>
    <w:p w14:paraId="369F8480"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 xml:space="preserve">La DGMG </w:t>
      </w:r>
      <w:r>
        <w:rPr>
          <w:rFonts w:ascii="Tahoma" w:hAnsi="Tahoma" w:cs="Tahoma"/>
        </w:rPr>
        <w:t>octroie les</w:t>
      </w:r>
      <w:r w:rsidRPr="00A815B9">
        <w:rPr>
          <w:rFonts w:ascii="Tahoma" w:hAnsi="Tahoma" w:cs="Tahoma"/>
        </w:rPr>
        <w:t xml:space="preserve"> titres miniers</w:t>
      </w:r>
      <w:r>
        <w:rPr>
          <w:rFonts w:ascii="Tahoma" w:hAnsi="Tahoma" w:cs="Tahoma"/>
        </w:rPr>
        <w:t> ;</w:t>
      </w:r>
    </w:p>
    <w:p w14:paraId="20AB0256"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La DCSOM / DGCSO supervise les opérations mais sans système d'information centralisé</w:t>
      </w:r>
      <w:r>
        <w:rPr>
          <w:rFonts w:ascii="Tahoma" w:hAnsi="Tahoma" w:cs="Tahoma"/>
        </w:rPr>
        <w:t> ;</w:t>
      </w:r>
    </w:p>
    <w:p w14:paraId="5B855CEE"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La DGD enregistre les exportations en douane mais sans ventilation EMAPE / industriel</w:t>
      </w:r>
      <w:r>
        <w:rPr>
          <w:rFonts w:ascii="Tahoma" w:hAnsi="Tahoma" w:cs="Tahoma"/>
        </w:rPr>
        <w:t> ;</w:t>
      </w:r>
    </w:p>
    <w:p w14:paraId="264AFF70"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La Direction de la Monnaie et du Crédit délivre les agréments de commercialisation sans suivi des flux</w:t>
      </w:r>
      <w:r>
        <w:rPr>
          <w:rFonts w:ascii="Tahoma" w:hAnsi="Tahoma" w:cs="Tahoma"/>
        </w:rPr>
        <w:t> ;</w:t>
      </w:r>
    </w:p>
    <w:p w14:paraId="26363186"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L'ANSD produit des comptes nationaux sans estimation récente de la contribution EMAPE</w:t>
      </w:r>
      <w:r>
        <w:rPr>
          <w:rFonts w:ascii="Tahoma" w:hAnsi="Tahoma" w:cs="Tahoma"/>
        </w:rPr>
        <w:t> ;</w:t>
      </w:r>
    </w:p>
    <w:p w14:paraId="0816A040"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 xml:space="preserve">Le CN-ITIE publie les données de réconciliation </w:t>
      </w:r>
      <w:r>
        <w:rPr>
          <w:rFonts w:ascii="Tahoma" w:hAnsi="Tahoma" w:cs="Tahoma"/>
        </w:rPr>
        <w:t>des entreprises industrielles ;</w:t>
      </w:r>
    </w:p>
    <w:p w14:paraId="670E5E10"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L'absence de coordination interministérielle formelle et de structure spécifiquement mandatée pour la centralisation, l'harmonisation et la publication des données EMAPE constitue ainsi un obstacle systémique de premier rang.</w:t>
      </w:r>
    </w:p>
    <w:p w14:paraId="2D3B691A" w14:textId="77777777" w:rsidR="008E608A" w:rsidRPr="00A815B9" w:rsidRDefault="008E608A" w:rsidP="008E608A">
      <w:pPr>
        <w:pStyle w:val="Titre2"/>
        <w:spacing w:after="80" w:line="276" w:lineRule="auto"/>
        <w:jc w:val="both"/>
        <w:rPr>
          <w:rFonts w:ascii="Tahoma" w:hAnsi="Tahoma" w:cs="Tahoma"/>
        </w:rPr>
      </w:pPr>
      <w:bookmarkStart w:id="18" w:name="_Toc230168240"/>
      <w:r w:rsidRPr="00A815B9">
        <w:rPr>
          <w:rFonts w:ascii="Tahoma" w:hAnsi="Tahoma" w:cs="Tahoma"/>
        </w:rPr>
        <w:t>6.2 Obstacles liés à la collecte des données</w:t>
      </w:r>
      <w:bookmarkEnd w:id="18"/>
    </w:p>
    <w:p w14:paraId="5B3BC364"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 collecte de données primaires sur la production artisanale est confrontée à des défis structurels inhérents au sous-secteur :</w:t>
      </w:r>
    </w:p>
    <w:p w14:paraId="1EC3AEF8"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Informalité généralisée : la majorité des sites opèrent en dehors des couloirs réglementaires, sans déclaration d'existence.</w:t>
      </w:r>
    </w:p>
    <w:p w14:paraId="541C1930"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Mobilité des orpailleurs : la nature saisonnière et nomade des activités rend impossible tout recensement statique exhaustif.</w:t>
      </w:r>
    </w:p>
    <w:p w14:paraId="54FF3003"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Multiplicité des sites : les estimations font état de centaines de sites actifs non répertoriés dans les régions de Kédougou et Tambacounda.</w:t>
      </w:r>
    </w:p>
    <w:p w14:paraId="5CE1BA4E"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Absence de registres de production : aucun mécanisme de pesée, d'enregistrement ou de certification de la production au niveau des sites n'est opérationnel à ce jour.</w:t>
      </w:r>
    </w:p>
    <w:p w14:paraId="5AB52CA8"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Systèmes communautaires internes : la gestion communautaire de la production (partage à la juste part) est organisée hors de tout cadre documentaire formel.</w:t>
      </w:r>
    </w:p>
    <w:p w14:paraId="737F1F91" w14:textId="77777777" w:rsidR="008E608A" w:rsidRPr="00A815B9" w:rsidRDefault="008E608A" w:rsidP="008E608A">
      <w:pPr>
        <w:pStyle w:val="Titre2"/>
        <w:spacing w:after="80" w:line="276" w:lineRule="auto"/>
        <w:jc w:val="both"/>
        <w:rPr>
          <w:rFonts w:ascii="Tahoma" w:hAnsi="Tahoma" w:cs="Tahoma"/>
        </w:rPr>
      </w:pPr>
      <w:bookmarkStart w:id="19" w:name="_Toc230168241"/>
      <w:r w:rsidRPr="00A815B9">
        <w:rPr>
          <w:rFonts w:ascii="Tahoma" w:hAnsi="Tahoma" w:cs="Tahoma"/>
        </w:rPr>
        <w:t>6.3 Obstacles liés à la commercialisation</w:t>
      </w:r>
      <w:bookmarkEnd w:id="19"/>
    </w:p>
    <w:p w14:paraId="6EEAE526"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 quasi-totalité de l'or artisanal est commercialisée hors des circuits officiels, avec des caractéristiques rendant la collecte de données quasi-impossible :</w:t>
      </w:r>
    </w:p>
    <w:p w14:paraId="4465DD2A"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Vente systématique à des collecteurs informels non agréés sur les sites d'extraction.</w:t>
      </w:r>
    </w:p>
    <w:p w14:paraId="12E25F90"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Absence de récépissés ou de documentation de transaction entre les orpailleurs et les collecteurs.</w:t>
      </w:r>
    </w:p>
    <w:p w14:paraId="1178DFD9"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Non-déclaration des achats par les comptoirs agréés à l'administration minière.</w:t>
      </w:r>
    </w:p>
    <w:p w14:paraId="653034B6"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Multiplicité des intermédiaires créant des chaînes de propriété opaques et discontinues.</w:t>
      </w:r>
    </w:p>
    <w:p w14:paraId="056322C1" w14:textId="77777777" w:rsidR="008E608A" w:rsidRPr="00A815B9" w:rsidRDefault="008E608A" w:rsidP="008E608A">
      <w:pPr>
        <w:pStyle w:val="Titre2"/>
        <w:spacing w:after="80" w:line="276" w:lineRule="auto"/>
        <w:jc w:val="both"/>
        <w:rPr>
          <w:rFonts w:ascii="Tahoma" w:hAnsi="Tahoma" w:cs="Tahoma"/>
        </w:rPr>
      </w:pPr>
      <w:bookmarkStart w:id="20" w:name="_Toc230168242"/>
      <w:r w:rsidRPr="00A815B9">
        <w:rPr>
          <w:rFonts w:ascii="Tahoma" w:hAnsi="Tahoma" w:cs="Tahoma"/>
        </w:rPr>
        <w:lastRenderedPageBreak/>
        <w:t>6.4 Obstacles douaniers et statistiques du commerce extérieur</w:t>
      </w:r>
      <w:bookmarkEnd w:id="20"/>
    </w:p>
    <w:p w14:paraId="47390A86"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Au niveau des douanes et des statistiques du commerce extérieur, quatre obstacles cumulatifs limitent la qualité des données :</w:t>
      </w:r>
    </w:p>
    <w:p w14:paraId="72558A4C"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Impossibilité d'identifier l'or EMAPE dans les statistiques douanières : aucune nomenclature douanière nationale ne distingue l'or artisanal de l'or industriel sous le code HS 7108.</w:t>
      </w:r>
    </w:p>
    <w:p w14:paraId="56A77AB9"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Problèmes de nomenclature douanière : les pratiques de classification varient selon les agents, créant des incohérences inter-périodes.</w:t>
      </w:r>
    </w:p>
    <w:p w14:paraId="721BE172"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Fiabilité des pays de destination : les pays d'expédition sont souvent enregistrés à la place des pays de destination finale (cas des transits malien et guinéen).</w:t>
      </w:r>
    </w:p>
    <w:p w14:paraId="32A4D53D"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Absence d'interconnexion des bases de données : aucun mécanisme d'échange automatique de données douanières entre le Sénégal et ses principaux partenaires (Suisse, EAU, Australie) n'est opérationnel.</w:t>
      </w:r>
    </w:p>
    <w:p w14:paraId="789564B1" w14:textId="77777777" w:rsidR="008E608A" w:rsidRPr="00A815B9" w:rsidRDefault="008E608A" w:rsidP="008E608A">
      <w:pPr>
        <w:pStyle w:val="Titre2"/>
        <w:spacing w:after="80" w:line="276" w:lineRule="auto"/>
        <w:jc w:val="both"/>
        <w:rPr>
          <w:rFonts w:ascii="Tahoma" w:hAnsi="Tahoma" w:cs="Tahoma"/>
        </w:rPr>
      </w:pPr>
      <w:bookmarkStart w:id="21" w:name="_Toc230168243"/>
      <w:r w:rsidRPr="00A815B9">
        <w:rPr>
          <w:rFonts w:ascii="Tahoma" w:hAnsi="Tahoma" w:cs="Tahoma"/>
        </w:rPr>
        <w:t>6.5 Obstacles liés aux exportations informelles</w:t>
      </w:r>
      <w:bookmarkEnd w:id="21"/>
    </w:p>
    <w:p w14:paraId="1644CAD9"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Sortie d'or non enregistrée par les postes-frontières terrestres avec le Mali</w:t>
      </w:r>
      <w:r>
        <w:rPr>
          <w:rFonts w:ascii="Tahoma" w:hAnsi="Tahoma" w:cs="Tahoma"/>
        </w:rPr>
        <w:t xml:space="preserve"> et</w:t>
      </w:r>
      <w:r w:rsidRPr="00A815B9">
        <w:rPr>
          <w:rFonts w:ascii="Tahoma" w:hAnsi="Tahoma" w:cs="Tahoma"/>
        </w:rPr>
        <w:t xml:space="preserve"> la Guinée</w:t>
      </w:r>
      <w:r>
        <w:rPr>
          <w:rFonts w:ascii="Tahoma" w:hAnsi="Tahoma" w:cs="Tahoma"/>
        </w:rPr>
        <w:t> ;</w:t>
      </w:r>
    </w:p>
    <w:p w14:paraId="682693B6"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Sous-déclaration aux douanes de l'aéroport de Dakar, facilité par l'absence de détection spécialisée.</w:t>
      </w:r>
    </w:p>
    <w:p w14:paraId="2AFDA5C1"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Exportations non enregistrées transitant par des transporteurs non agréés.</w:t>
      </w:r>
    </w:p>
    <w:p w14:paraId="5FCCA185"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Attractivité des marchés régionaux (Mali, Guinée) offrant des prix supérieurs au prix local, incitant à contourner les circuits formels sénégalais.</w:t>
      </w:r>
    </w:p>
    <w:p w14:paraId="485D654D" w14:textId="77777777" w:rsidR="008E608A" w:rsidRPr="00A815B9" w:rsidRDefault="008E608A" w:rsidP="008E608A">
      <w:pPr>
        <w:pStyle w:val="Titre2"/>
        <w:spacing w:after="80" w:line="276" w:lineRule="auto"/>
        <w:jc w:val="both"/>
        <w:rPr>
          <w:rFonts w:ascii="Tahoma" w:hAnsi="Tahoma" w:cs="Tahoma"/>
        </w:rPr>
      </w:pPr>
      <w:bookmarkStart w:id="22" w:name="_Toc230168244"/>
      <w:r w:rsidRPr="00A815B9">
        <w:rPr>
          <w:rFonts w:ascii="Tahoma" w:hAnsi="Tahoma" w:cs="Tahoma"/>
        </w:rPr>
        <w:t>6.6 Obstacles techniques et statistiques</w:t>
      </w:r>
      <w:bookmarkEnd w:id="22"/>
    </w:p>
    <w:p w14:paraId="420409B9"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Absence de base de données centralisée inter-administrations sur les flux d'or EMAPE.</w:t>
      </w:r>
    </w:p>
    <w:p w14:paraId="2FF5D460"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Absence de système de traçabilité physique ou numérique de l'or artisanal depuis les sites de production.</w:t>
      </w:r>
    </w:p>
    <w:p w14:paraId="04E13C5F"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Faible digitalisation des administrations minières déconcentrées (DREPM), limitant la transmission en temps réel des données de terrain.</w:t>
      </w:r>
    </w:p>
    <w:p w14:paraId="4FD5C5A7"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Hétérogénéité des données entre administrations : formats, périodicités et nomenclatures divergents, rendant la consolidation complexe.</w:t>
      </w:r>
    </w:p>
    <w:p w14:paraId="570C79E6"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Insuffisance des ressources humaines spécialisées en statistiques minières au sein des services déconcentrés.</w:t>
      </w:r>
    </w:p>
    <w:p w14:paraId="14AD4B6B" w14:textId="77777777" w:rsidR="008E608A" w:rsidRDefault="008E608A" w:rsidP="008E608A">
      <w:pPr>
        <w:spacing w:after="80" w:line="276" w:lineRule="auto"/>
        <w:jc w:val="both"/>
        <w:rPr>
          <w:rFonts w:ascii="Tahoma" w:hAnsi="Tahoma" w:cs="Tahoma"/>
        </w:rPr>
      </w:pPr>
    </w:p>
    <w:p w14:paraId="5732F9B3" w14:textId="77777777" w:rsidR="008E608A" w:rsidRDefault="008E608A" w:rsidP="008E608A">
      <w:pPr>
        <w:spacing w:after="80" w:line="276" w:lineRule="auto"/>
        <w:jc w:val="both"/>
        <w:rPr>
          <w:rFonts w:ascii="Tahoma" w:hAnsi="Tahoma" w:cs="Tahoma"/>
        </w:rPr>
      </w:pPr>
    </w:p>
    <w:p w14:paraId="59A219D9" w14:textId="77777777" w:rsidR="008E608A" w:rsidRDefault="008E608A" w:rsidP="008E608A">
      <w:pPr>
        <w:spacing w:after="80" w:line="276" w:lineRule="auto"/>
        <w:jc w:val="both"/>
        <w:rPr>
          <w:rFonts w:ascii="Tahoma" w:hAnsi="Tahoma" w:cs="Tahoma"/>
        </w:rPr>
      </w:pPr>
    </w:p>
    <w:p w14:paraId="3AC68129" w14:textId="77777777" w:rsidR="008E608A" w:rsidRDefault="008E608A" w:rsidP="008E608A">
      <w:pPr>
        <w:spacing w:after="80" w:line="276" w:lineRule="auto"/>
        <w:jc w:val="both"/>
        <w:rPr>
          <w:rFonts w:ascii="Tahoma" w:hAnsi="Tahoma" w:cs="Tahoma"/>
        </w:rPr>
      </w:pPr>
      <w:r>
        <w:rPr>
          <w:rFonts w:ascii="Tahoma" w:hAnsi="Tahoma" w:cs="Tahoma"/>
        </w:rPr>
        <w:br w:type="page"/>
      </w:r>
    </w:p>
    <w:p w14:paraId="6C55C7E0" w14:textId="77777777" w:rsidR="008E608A" w:rsidRPr="00CC4E5D" w:rsidRDefault="008E608A" w:rsidP="008E608A">
      <w:pPr>
        <w:pStyle w:val="Titre1"/>
        <w:spacing w:after="80" w:line="276" w:lineRule="auto"/>
        <w:jc w:val="both"/>
        <w:rPr>
          <w:rFonts w:ascii="Tahoma" w:hAnsi="Tahoma" w:cs="Tahoma"/>
        </w:rPr>
      </w:pPr>
      <w:bookmarkStart w:id="23" w:name="_Toc230168245"/>
      <w:r>
        <w:rPr>
          <w:rFonts w:ascii="Tahoma" w:hAnsi="Tahoma" w:cs="Tahoma"/>
        </w:rPr>
        <w:lastRenderedPageBreak/>
        <w:t xml:space="preserve">7. </w:t>
      </w:r>
      <w:r w:rsidRPr="00CC4E5D">
        <w:rPr>
          <w:rFonts w:ascii="Tahoma" w:hAnsi="Tahoma" w:cs="Tahoma"/>
        </w:rPr>
        <w:t>Analyse miroir</w:t>
      </w:r>
      <w:bookmarkEnd w:id="23"/>
      <w:r w:rsidRPr="00CC4E5D">
        <w:rPr>
          <w:rFonts w:ascii="Tahoma" w:hAnsi="Tahoma" w:cs="Tahoma"/>
        </w:rPr>
        <w:t xml:space="preserve"> </w:t>
      </w:r>
    </w:p>
    <w:p w14:paraId="31E1CF3E" w14:textId="77777777" w:rsidR="008E608A" w:rsidRPr="006338D0" w:rsidRDefault="008E608A" w:rsidP="008E608A">
      <w:pPr>
        <w:spacing w:after="80" w:line="276" w:lineRule="auto"/>
        <w:jc w:val="both"/>
        <w:rPr>
          <w:rFonts w:ascii="Tahoma" w:hAnsi="Tahoma" w:cs="Tahoma"/>
          <w:color w:val="000000"/>
        </w:rPr>
      </w:pPr>
      <w:r w:rsidRPr="006338D0">
        <w:rPr>
          <w:rFonts w:ascii="Tahoma" w:hAnsi="Tahoma" w:cs="Tahoma"/>
          <w:color w:val="000000"/>
        </w:rPr>
        <w:t xml:space="preserve">La méthode des statistiques miroir consiste à confronter les exportations d'or déclarées par le Sénégal (source ITIE nationale) avec les importations d'or en provenance du Sénégal déclarées par les pays partenaires (source UN </w:t>
      </w:r>
      <w:proofErr w:type="spellStart"/>
      <w:r w:rsidRPr="006338D0">
        <w:rPr>
          <w:rFonts w:ascii="Tahoma" w:hAnsi="Tahoma" w:cs="Tahoma"/>
          <w:color w:val="000000"/>
        </w:rPr>
        <w:t>Comtrade</w:t>
      </w:r>
      <w:proofErr w:type="spellEnd"/>
      <w:r w:rsidRPr="006338D0">
        <w:rPr>
          <w:rFonts w:ascii="Tahoma" w:hAnsi="Tahoma" w:cs="Tahoma"/>
          <w:color w:val="000000"/>
        </w:rPr>
        <w:t>).</w:t>
      </w:r>
    </w:p>
    <w:p w14:paraId="3ED84288" w14:textId="77777777" w:rsidR="008E608A" w:rsidRPr="006338D0" w:rsidRDefault="008E608A" w:rsidP="008E608A">
      <w:pPr>
        <w:spacing w:after="80" w:line="276" w:lineRule="auto"/>
        <w:jc w:val="both"/>
        <w:rPr>
          <w:rFonts w:ascii="Tahoma" w:hAnsi="Tahoma" w:cs="Tahoma"/>
          <w:color w:val="000000"/>
        </w:rPr>
      </w:pPr>
      <w:r w:rsidRPr="006338D0">
        <w:rPr>
          <w:rFonts w:ascii="Tahoma" w:hAnsi="Tahoma" w:cs="Tahoma"/>
          <w:color w:val="000000"/>
        </w:rPr>
        <w:t>Un écart positif - importations supérieures aux exportations déclarées - indique une sous-déclaration côté sénégalais, imputable à la contrebande, aux défaillances douanières ou à des pratiques de fraude commerciale. Un écart négatif suggère une surestimation des exportations ou un décalage temporel entre les déclarations.</w:t>
      </w:r>
    </w:p>
    <w:p w14:paraId="097D406A" w14:textId="77777777" w:rsidR="008E608A" w:rsidRPr="006338D0" w:rsidRDefault="008E608A" w:rsidP="008E608A">
      <w:pPr>
        <w:spacing w:after="80" w:line="276" w:lineRule="auto"/>
        <w:jc w:val="both"/>
        <w:rPr>
          <w:rFonts w:ascii="Tahoma" w:hAnsi="Tahoma" w:cs="Tahoma"/>
          <w:color w:val="000000"/>
        </w:rPr>
      </w:pPr>
      <w:r w:rsidRPr="006338D0">
        <w:rPr>
          <w:rFonts w:ascii="Tahoma" w:hAnsi="Tahoma" w:cs="Tahoma"/>
          <w:color w:val="000000"/>
        </w:rPr>
        <w:t xml:space="preserve">Cette approche, préconisée par l'OCDE et utilisée notamment par ENACT </w:t>
      </w:r>
      <w:proofErr w:type="spellStart"/>
      <w:r w:rsidRPr="006338D0">
        <w:rPr>
          <w:rFonts w:ascii="Tahoma" w:hAnsi="Tahoma" w:cs="Tahoma"/>
          <w:color w:val="000000"/>
        </w:rPr>
        <w:t>Africa</w:t>
      </w:r>
      <w:proofErr w:type="spellEnd"/>
      <w:r w:rsidRPr="006338D0">
        <w:rPr>
          <w:rFonts w:ascii="Tahoma" w:hAnsi="Tahoma" w:cs="Tahoma"/>
          <w:color w:val="000000"/>
        </w:rPr>
        <w:t xml:space="preserve"> et le Global Initiative Against Transnational </w:t>
      </w:r>
      <w:proofErr w:type="spellStart"/>
      <w:r w:rsidRPr="006338D0">
        <w:rPr>
          <w:rFonts w:ascii="Tahoma" w:hAnsi="Tahoma" w:cs="Tahoma"/>
          <w:color w:val="000000"/>
        </w:rPr>
        <w:t>Organized</w:t>
      </w:r>
      <w:proofErr w:type="spellEnd"/>
      <w:r w:rsidRPr="006338D0">
        <w:rPr>
          <w:rFonts w:ascii="Tahoma" w:hAnsi="Tahoma" w:cs="Tahoma"/>
          <w:color w:val="000000"/>
        </w:rPr>
        <w:t xml:space="preserve"> Crime (GIATOC), constitue l'outil analytique central </w:t>
      </w:r>
      <w:r>
        <w:rPr>
          <w:rFonts w:ascii="Tahoma" w:hAnsi="Tahoma" w:cs="Tahoma"/>
          <w:color w:val="000000"/>
        </w:rPr>
        <w:t>de cette partie.</w:t>
      </w:r>
    </w:p>
    <w:p w14:paraId="251CD04A" w14:textId="77777777" w:rsidR="008E608A" w:rsidRPr="00C71B92" w:rsidRDefault="008E608A" w:rsidP="008E608A">
      <w:pPr>
        <w:spacing w:after="80" w:line="276" w:lineRule="auto"/>
        <w:jc w:val="both"/>
        <w:rPr>
          <w:rFonts w:ascii="Tahoma" w:hAnsi="Tahoma" w:cs="Tahoma"/>
          <w:color w:val="000000"/>
        </w:rPr>
      </w:pPr>
    </w:p>
    <w:p w14:paraId="5D6F800C" w14:textId="77777777" w:rsidR="008E608A" w:rsidRPr="00FD7FDA" w:rsidRDefault="008E608A" w:rsidP="008E608A">
      <w:pPr>
        <w:pStyle w:val="Titre2"/>
        <w:spacing w:after="80" w:line="276" w:lineRule="auto"/>
        <w:jc w:val="both"/>
        <w:rPr>
          <w:rFonts w:ascii="Tahoma" w:hAnsi="Tahoma" w:cs="Tahoma"/>
        </w:rPr>
      </w:pPr>
      <w:bookmarkStart w:id="24" w:name="_Toc230168246"/>
      <w:r w:rsidRPr="00FD7FDA">
        <w:rPr>
          <w:rFonts w:ascii="Tahoma" w:hAnsi="Tahoma" w:cs="Tahoma"/>
        </w:rPr>
        <w:t xml:space="preserve">7.1. La plateforme UN </w:t>
      </w:r>
      <w:proofErr w:type="spellStart"/>
      <w:r w:rsidRPr="00FD7FDA">
        <w:rPr>
          <w:rFonts w:ascii="Tahoma" w:hAnsi="Tahoma" w:cs="Tahoma"/>
        </w:rPr>
        <w:t>Comtrade</w:t>
      </w:r>
      <w:bookmarkEnd w:id="24"/>
      <w:proofErr w:type="spellEnd"/>
    </w:p>
    <w:p w14:paraId="19902C0C"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UN </w:t>
      </w:r>
      <w:proofErr w:type="spellStart"/>
      <w:r w:rsidRPr="00A815B9">
        <w:rPr>
          <w:rFonts w:ascii="Tahoma" w:hAnsi="Tahoma" w:cs="Tahoma"/>
          <w:color w:val="000000"/>
        </w:rPr>
        <w:t>Comtrade</w:t>
      </w:r>
      <w:proofErr w:type="spellEnd"/>
      <w:r w:rsidRPr="00A815B9">
        <w:rPr>
          <w:rFonts w:ascii="Tahoma" w:hAnsi="Tahoma" w:cs="Tahoma"/>
          <w:color w:val="000000"/>
        </w:rPr>
        <w:t xml:space="preserve"> (United Nations </w:t>
      </w:r>
      <w:proofErr w:type="spellStart"/>
      <w:r w:rsidRPr="00A815B9">
        <w:rPr>
          <w:rFonts w:ascii="Tahoma" w:hAnsi="Tahoma" w:cs="Tahoma"/>
          <w:color w:val="000000"/>
        </w:rPr>
        <w:t>Commodity</w:t>
      </w:r>
      <w:proofErr w:type="spellEnd"/>
      <w:r w:rsidRPr="00A815B9">
        <w:rPr>
          <w:rFonts w:ascii="Tahoma" w:hAnsi="Tahoma" w:cs="Tahoma"/>
          <w:color w:val="000000"/>
        </w:rPr>
        <w:t xml:space="preserve"> Trade </w:t>
      </w:r>
      <w:proofErr w:type="spellStart"/>
      <w:r w:rsidRPr="00A815B9">
        <w:rPr>
          <w:rFonts w:ascii="Tahoma" w:hAnsi="Tahoma" w:cs="Tahoma"/>
          <w:color w:val="000000"/>
        </w:rPr>
        <w:t>Statistics</w:t>
      </w:r>
      <w:proofErr w:type="spellEnd"/>
      <w:r w:rsidRPr="00A815B9">
        <w:rPr>
          <w:rFonts w:ascii="Tahoma" w:hAnsi="Tahoma" w:cs="Tahoma"/>
          <w:color w:val="000000"/>
        </w:rPr>
        <w:t xml:space="preserve"> </w:t>
      </w:r>
      <w:proofErr w:type="spellStart"/>
      <w:r w:rsidRPr="00A815B9">
        <w:rPr>
          <w:rFonts w:ascii="Tahoma" w:hAnsi="Tahoma" w:cs="Tahoma"/>
          <w:color w:val="000000"/>
        </w:rPr>
        <w:t>Database</w:t>
      </w:r>
      <w:proofErr w:type="spellEnd"/>
      <w:r w:rsidRPr="00A815B9">
        <w:rPr>
          <w:rFonts w:ascii="Tahoma" w:hAnsi="Tahoma" w:cs="Tahoma"/>
          <w:color w:val="000000"/>
        </w:rPr>
        <w:t>)</w:t>
      </w:r>
      <w:r>
        <w:rPr>
          <w:rStyle w:val="Appelnotedebasdep"/>
          <w:rFonts w:ascii="Tahoma" w:hAnsi="Tahoma" w:cs="Tahoma"/>
          <w:color w:val="000000"/>
        </w:rPr>
        <w:footnoteReference w:id="1"/>
      </w:r>
      <w:r w:rsidRPr="00A815B9">
        <w:rPr>
          <w:rFonts w:ascii="Tahoma" w:hAnsi="Tahoma" w:cs="Tahoma"/>
          <w:color w:val="000000"/>
        </w:rPr>
        <w:t xml:space="preserve"> est la base de données statistiques de référence mondiale en matière d'échanges commerciaux internationaux, gérée par la Division de statistique des Nations Unies (UNSD). Elle agrège les déclarations douanières transmises par plus de 200 pays et territoires selon un protocole annuel, mensuel ou trimestriel standardisé.</w:t>
      </w:r>
    </w:p>
    <w:p w14:paraId="4AF67A1D"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Rénovée en 2023 avec le lancement de </w:t>
      </w:r>
      <w:proofErr w:type="spellStart"/>
      <w:r w:rsidRPr="00A815B9">
        <w:rPr>
          <w:rFonts w:ascii="Tahoma" w:hAnsi="Tahoma" w:cs="Tahoma"/>
          <w:color w:val="000000"/>
        </w:rPr>
        <w:t>Comtrade</w:t>
      </w:r>
      <w:proofErr w:type="spellEnd"/>
      <w:r w:rsidRPr="00A815B9">
        <w:rPr>
          <w:rFonts w:ascii="Tahoma" w:hAnsi="Tahoma" w:cs="Tahoma"/>
          <w:color w:val="000000"/>
        </w:rPr>
        <w:t>+, la plateforme offre des fonctionnalités avancées de requêtage API, de visualisation interactive et d'accès aux données historiques depuis 1962. Dans le contexte du suivi des flux d'or artisanal, elle remplit une fonction analytique irremplaçable : la comparaison des statistiques miroir entre pays exportateurs et pays importateurs, préconisée par l'OCDE dans son Guide sur le Devoir de Diligence.</w:t>
      </w:r>
    </w:p>
    <w:p w14:paraId="6CB77563"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Pour le CN-ITIE Sénégal, la confrontation des données </w:t>
      </w:r>
      <w:proofErr w:type="spellStart"/>
      <w:r w:rsidRPr="00A815B9">
        <w:rPr>
          <w:rFonts w:ascii="Tahoma" w:hAnsi="Tahoma" w:cs="Tahoma"/>
          <w:color w:val="000000"/>
        </w:rPr>
        <w:t>Comtrade</w:t>
      </w:r>
      <w:proofErr w:type="spellEnd"/>
      <w:r w:rsidRPr="00A815B9">
        <w:rPr>
          <w:rFonts w:ascii="Tahoma" w:hAnsi="Tahoma" w:cs="Tahoma"/>
          <w:color w:val="000000"/>
        </w:rPr>
        <w:t xml:space="preserve"> avec les exportations déclarées dans les rapports ITIE constitue une méthode de réconciliation indirecte permettant d'estimer l'ampleur des flux non enregistrés au niveau national.</w:t>
      </w:r>
    </w:p>
    <w:p w14:paraId="551F4269"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Les données extraites correspondent aux flux d'or couverts par le chapitre 71 du Système Harmonisé (SH), et plus précisément aux sous-positions suivantes :</w:t>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7787"/>
      </w:tblGrid>
      <w:tr w:rsidR="008E608A" w:rsidRPr="00A815B9" w14:paraId="234E930F" w14:textId="77777777" w:rsidTr="001E07B7">
        <w:tblPrEx>
          <w:tblCellMar>
            <w:top w:w="0" w:type="dxa"/>
            <w:bottom w:w="0" w:type="dxa"/>
          </w:tblCellMar>
        </w:tblPrEx>
        <w:trPr>
          <w:trHeight w:val="312"/>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B43A245"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Code HS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5CB4E8A9"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Désignation</w:t>
            </w:r>
          </w:p>
        </w:tc>
      </w:tr>
      <w:tr w:rsidR="008E608A" w:rsidRPr="00A815B9" w14:paraId="63651679" w14:textId="77777777" w:rsidTr="001E07B7">
        <w:tblPrEx>
          <w:tblCellMar>
            <w:top w:w="0" w:type="dxa"/>
            <w:bottom w:w="0" w:type="dxa"/>
          </w:tblCellMar>
        </w:tblPrEx>
        <w:trPr>
          <w:trHeight w:val="331"/>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86C5D00"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7108.11</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0388578"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Or non monétaire non affiné, sous forme de poudre</w:t>
            </w:r>
          </w:p>
        </w:tc>
      </w:tr>
      <w:tr w:rsidR="008E608A" w:rsidRPr="00A815B9" w14:paraId="702BF894" w14:textId="77777777" w:rsidTr="001E07B7">
        <w:tblPrEx>
          <w:tblCellMar>
            <w:top w:w="0" w:type="dxa"/>
            <w:bottom w:w="0" w:type="dxa"/>
          </w:tblCellMar>
        </w:tblPrEx>
        <w:trPr>
          <w:trHeight w:val="312"/>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81BFD8B"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7108.12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4DA9251"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Or non monétaire non affiné, autres formes brutes</w:t>
            </w:r>
          </w:p>
        </w:tc>
      </w:tr>
      <w:tr w:rsidR="008E608A" w:rsidRPr="00A815B9" w14:paraId="135AD7EE" w14:textId="77777777" w:rsidTr="001E07B7">
        <w:tblPrEx>
          <w:tblCellMar>
            <w:top w:w="0" w:type="dxa"/>
            <w:bottom w:w="0" w:type="dxa"/>
          </w:tblCellMar>
        </w:tblPrEx>
        <w:trPr>
          <w:trHeight w:val="331"/>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1EC26B9"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7108.13</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B9662D8"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Or non monétaire semi-ouvré ou sous forme de poudre, autres</w:t>
            </w:r>
          </w:p>
        </w:tc>
      </w:tr>
      <w:tr w:rsidR="008E608A" w:rsidRPr="00A815B9" w14:paraId="2DB98E5A" w14:textId="77777777" w:rsidTr="001E07B7">
        <w:tblPrEx>
          <w:tblCellMar>
            <w:top w:w="0" w:type="dxa"/>
            <w:bottom w:w="0" w:type="dxa"/>
          </w:tblCellMar>
        </w:tblPrEx>
        <w:trPr>
          <w:trHeight w:val="331"/>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F1A88AD"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7108.20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7FA05B3"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Or monétaire</w:t>
            </w:r>
          </w:p>
        </w:tc>
      </w:tr>
      <w:tr w:rsidR="008E608A" w:rsidRPr="00A815B9" w14:paraId="20B10D8C" w14:textId="77777777" w:rsidTr="001E07B7">
        <w:tblPrEx>
          <w:tblCellMar>
            <w:top w:w="0" w:type="dxa"/>
            <w:bottom w:w="0" w:type="dxa"/>
          </w:tblCellMar>
        </w:tblPrEx>
        <w:trPr>
          <w:trHeight w:val="312"/>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4296E2DE"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7108 (agrégé)</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318A4620"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Code agrégé utilisé dans la présente analyse, conforme aux pratiques OCDE/GIATOC</w:t>
            </w:r>
          </w:p>
        </w:tc>
      </w:tr>
    </w:tbl>
    <w:p w14:paraId="4361781F" w14:textId="77777777" w:rsidR="008E608A" w:rsidRDefault="008E608A" w:rsidP="008E608A">
      <w:pPr>
        <w:spacing w:after="80" w:line="276" w:lineRule="auto"/>
        <w:jc w:val="both"/>
        <w:rPr>
          <w:rFonts w:ascii="Tahoma" w:hAnsi="Tahoma" w:cs="Tahoma"/>
        </w:rPr>
      </w:pPr>
    </w:p>
    <w:p w14:paraId="0D4A02F3" w14:textId="77777777" w:rsidR="008E608A" w:rsidRDefault="008E608A" w:rsidP="008E608A">
      <w:pPr>
        <w:spacing w:after="80" w:line="276" w:lineRule="auto"/>
        <w:jc w:val="both"/>
        <w:rPr>
          <w:rFonts w:ascii="Tahoma" w:hAnsi="Tahoma" w:cs="Tahoma"/>
        </w:rPr>
      </w:pPr>
    </w:p>
    <w:p w14:paraId="6B5FD4E7" w14:textId="77777777" w:rsidR="008E608A" w:rsidRPr="00725EF6" w:rsidRDefault="008E608A" w:rsidP="008E608A">
      <w:pPr>
        <w:spacing w:after="80" w:line="276" w:lineRule="auto"/>
        <w:jc w:val="both"/>
        <w:rPr>
          <w:rFonts w:ascii="Tahoma" w:hAnsi="Tahoma" w:cs="Tahoma"/>
          <w:b/>
          <w:bCs/>
          <w:color w:val="1C6EA4"/>
          <w:sz w:val="27"/>
          <w:szCs w:val="27"/>
        </w:rPr>
      </w:pPr>
      <w:r w:rsidRPr="00725EF6">
        <w:rPr>
          <w:rFonts w:ascii="Tahoma" w:hAnsi="Tahoma" w:cs="Tahoma"/>
          <w:b/>
          <w:bCs/>
          <w:color w:val="1C6EA4"/>
          <w:sz w:val="27"/>
          <w:szCs w:val="27"/>
        </w:rPr>
        <w:t>7.</w:t>
      </w:r>
      <w:r>
        <w:rPr>
          <w:rFonts w:ascii="Tahoma" w:hAnsi="Tahoma" w:cs="Tahoma"/>
          <w:b/>
          <w:bCs/>
          <w:color w:val="1C6EA4"/>
          <w:sz w:val="27"/>
          <w:szCs w:val="27"/>
        </w:rPr>
        <w:t>2</w:t>
      </w:r>
      <w:r w:rsidRPr="00725EF6">
        <w:rPr>
          <w:rFonts w:ascii="Tahoma" w:hAnsi="Tahoma" w:cs="Tahoma"/>
          <w:b/>
          <w:bCs/>
          <w:color w:val="1C6EA4"/>
          <w:sz w:val="27"/>
          <w:szCs w:val="27"/>
        </w:rPr>
        <w:t xml:space="preserve">. </w:t>
      </w:r>
      <w:r w:rsidRPr="00516FA7">
        <w:rPr>
          <w:rFonts w:ascii="Tahoma" w:hAnsi="Tahoma" w:cs="Tahoma"/>
          <w:b/>
          <w:bCs/>
          <w:color w:val="1C6EA4"/>
          <w:sz w:val="27"/>
          <w:szCs w:val="27"/>
        </w:rPr>
        <w:t>Analyse des données de flux commerciaux (2020 - 2024)</w:t>
      </w:r>
      <w:r w:rsidRPr="00725EF6">
        <w:rPr>
          <w:rFonts w:ascii="Tahoma" w:hAnsi="Tahoma" w:cs="Tahoma"/>
          <w:b/>
          <w:bCs/>
          <w:color w:val="1C6EA4"/>
          <w:sz w:val="27"/>
          <w:szCs w:val="27"/>
        </w:rPr>
        <w:br w:type="page"/>
      </w:r>
    </w:p>
    <w:p w14:paraId="56779DB3" w14:textId="77777777" w:rsidR="008E608A" w:rsidRPr="00A815B9" w:rsidRDefault="008E608A" w:rsidP="008E608A">
      <w:pPr>
        <w:pStyle w:val="Titre2"/>
        <w:spacing w:after="80" w:line="276" w:lineRule="auto"/>
        <w:jc w:val="both"/>
        <w:rPr>
          <w:rFonts w:ascii="Tahoma" w:hAnsi="Tahoma" w:cs="Tahoma"/>
        </w:rPr>
      </w:pPr>
      <w:bookmarkStart w:id="25" w:name="_Toc230168247"/>
      <w:r w:rsidRPr="00A815B9">
        <w:rPr>
          <w:rFonts w:ascii="Tahoma" w:hAnsi="Tahoma" w:cs="Tahoma"/>
        </w:rPr>
        <w:lastRenderedPageBreak/>
        <w:t>Variables et sources</w:t>
      </w:r>
      <w:bookmarkEnd w:id="25"/>
    </w:p>
    <w:p w14:paraId="45E9B890" w14:textId="77777777" w:rsidR="008E608A" w:rsidRPr="00A815B9" w:rsidRDefault="008E608A" w:rsidP="008E608A">
      <w:pPr>
        <w:spacing w:after="80" w:line="276" w:lineRule="auto"/>
        <w:jc w:val="both"/>
        <w:rPr>
          <w:rFonts w:ascii="Tahoma" w:hAnsi="Tahoma" w:cs="Tahoma"/>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944"/>
        <w:gridCol w:w="5008"/>
      </w:tblGrid>
      <w:tr w:rsidR="008E608A" w:rsidRPr="00A815B9" w14:paraId="25AC643A" w14:textId="77777777" w:rsidTr="001E07B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325A52AA"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E22223E"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Source</w:t>
            </w:r>
          </w:p>
        </w:tc>
        <w:tc>
          <w:tcPr>
            <w:tcW w:w="5008"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E88803D"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Description</w:t>
            </w:r>
          </w:p>
        </w:tc>
      </w:tr>
      <w:tr w:rsidR="008E608A" w:rsidRPr="00A815B9" w14:paraId="20B7C5C4"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18DC429"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Importations déclarées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6AB307D"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 xml:space="preserve">UN </w:t>
            </w:r>
            <w:proofErr w:type="spellStart"/>
            <w:r w:rsidRPr="00A815B9">
              <w:rPr>
                <w:rFonts w:ascii="Tahoma" w:hAnsi="Tahoma" w:cs="Tahoma"/>
                <w:color w:val="000000"/>
                <w:sz w:val="20"/>
                <w:szCs w:val="20"/>
              </w:rPr>
              <w:t>Comtrade</w:t>
            </w:r>
            <w:proofErr w:type="spellEnd"/>
          </w:p>
        </w:tc>
        <w:tc>
          <w:tcPr>
            <w:tcW w:w="500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06FEBD9"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Quantités d'or (tonnes) déclarées comme importées depuis le Sénégal par les pays partenaires</w:t>
            </w:r>
          </w:p>
        </w:tc>
      </w:tr>
      <w:tr w:rsidR="008E608A" w:rsidRPr="00A815B9" w14:paraId="3B0137F9"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52AB330"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Exportations déclarées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229211E"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Rapports ITIE Sénégal</w:t>
            </w:r>
          </w:p>
        </w:tc>
        <w:tc>
          <w:tcPr>
            <w:tcW w:w="5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EE825DC"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Quantités d'or déclarées exportées par le Sénégal selon les données de réconciliation ITIE</w:t>
            </w:r>
          </w:p>
        </w:tc>
      </w:tr>
      <w:tr w:rsidR="008E608A" w:rsidRPr="00A815B9" w14:paraId="159F1FC4"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8CD1723"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Écart de déclaration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EFD5EBA"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Calcul CN-ITIE</w:t>
            </w:r>
          </w:p>
        </w:tc>
        <w:tc>
          <w:tcPr>
            <w:tcW w:w="500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927C436"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 xml:space="preserve">Différence : Importations </w:t>
            </w:r>
            <w:proofErr w:type="spellStart"/>
            <w:r w:rsidRPr="00A815B9">
              <w:rPr>
                <w:rFonts w:ascii="Tahoma" w:hAnsi="Tahoma" w:cs="Tahoma"/>
                <w:color w:val="000000"/>
                <w:sz w:val="20"/>
                <w:szCs w:val="20"/>
              </w:rPr>
              <w:t>Comtrade</w:t>
            </w:r>
            <w:proofErr w:type="spellEnd"/>
            <w:r w:rsidRPr="00A815B9">
              <w:rPr>
                <w:rFonts w:ascii="Tahoma" w:hAnsi="Tahoma" w:cs="Tahoma"/>
                <w:color w:val="000000"/>
                <w:sz w:val="20"/>
                <w:szCs w:val="20"/>
              </w:rPr>
              <w:t xml:space="preserve"> − Exportations ITIE</w:t>
            </w:r>
          </w:p>
        </w:tc>
      </w:tr>
      <w:tr w:rsidR="008E608A" w:rsidRPr="00A815B9" w14:paraId="38B4062D"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4925502"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Taux de non-déclaration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CD3E70C"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Calcul CN-ITIE</w:t>
            </w:r>
          </w:p>
        </w:tc>
        <w:tc>
          <w:tcPr>
            <w:tcW w:w="5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8538F79"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 xml:space="preserve">Écart / Importations </w:t>
            </w:r>
            <w:proofErr w:type="spellStart"/>
            <w:r w:rsidRPr="00A815B9">
              <w:rPr>
                <w:rFonts w:ascii="Tahoma" w:hAnsi="Tahoma" w:cs="Tahoma"/>
                <w:color w:val="000000"/>
                <w:sz w:val="20"/>
                <w:szCs w:val="20"/>
              </w:rPr>
              <w:t>Comtrade</w:t>
            </w:r>
            <w:proofErr w:type="spellEnd"/>
            <w:r w:rsidRPr="00A815B9">
              <w:rPr>
                <w:rFonts w:ascii="Tahoma" w:hAnsi="Tahoma" w:cs="Tahoma"/>
                <w:color w:val="000000"/>
                <w:sz w:val="20"/>
                <w:szCs w:val="20"/>
              </w:rPr>
              <w:t xml:space="preserve"> × 100 (%)</w:t>
            </w:r>
          </w:p>
        </w:tc>
      </w:tr>
      <w:tr w:rsidR="008E608A" w:rsidRPr="00A815B9" w14:paraId="39C50DD3"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D5DB181"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Production déclarée EMAPE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E6F94CE"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DGMG / Admin. des mines</w:t>
            </w:r>
          </w:p>
        </w:tc>
        <w:tc>
          <w:tcPr>
            <w:tcW w:w="500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9AC6EE3" w14:textId="77777777" w:rsidR="008E608A" w:rsidRDefault="008E608A" w:rsidP="001E07B7">
            <w:pPr>
              <w:spacing w:after="80" w:line="276" w:lineRule="auto"/>
              <w:jc w:val="both"/>
              <w:rPr>
                <w:rFonts w:ascii="Tahoma" w:hAnsi="Tahoma" w:cs="Tahoma"/>
                <w:color w:val="000000"/>
                <w:sz w:val="20"/>
                <w:szCs w:val="20"/>
              </w:rPr>
            </w:pPr>
            <w:r w:rsidRPr="00A815B9">
              <w:rPr>
                <w:rFonts w:ascii="Tahoma" w:hAnsi="Tahoma" w:cs="Tahoma"/>
                <w:color w:val="000000"/>
                <w:sz w:val="20"/>
                <w:szCs w:val="20"/>
              </w:rPr>
              <w:t>Déclarations trimestrielles des titulaires de titres</w:t>
            </w:r>
          </w:p>
          <w:p w14:paraId="4726E251"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(2023</w:t>
            </w:r>
            <w:r>
              <w:rPr>
                <w:rFonts w:ascii="Tahoma" w:hAnsi="Tahoma" w:cs="Tahoma"/>
                <w:color w:val="000000"/>
                <w:sz w:val="20"/>
                <w:szCs w:val="20"/>
              </w:rPr>
              <w:t xml:space="preserve"> - 2</w:t>
            </w:r>
            <w:r w:rsidRPr="00A815B9">
              <w:rPr>
                <w:rFonts w:ascii="Tahoma" w:hAnsi="Tahoma" w:cs="Tahoma"/>
                <w:color w:val="000000"/>
                <w:sz w:val="20"/>
                <w:szCs w:val="20"/>
              </w:rPr>
              <w:t>025)</w:t>
            </w:r>
          </w:p>
        </w:tc>
      </w:tr>
      <w:tr w:rsidR="008E608A" w:rsidRPr="00A815B9" w14:paraId="3DEEA8B8" w14:textId="77777777" w:rsidTr="001E07B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7B02DAB"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Autorisations minières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CD4E70B" w14:textId="77777777" w:rsidR="008E608A" w:rsidRPr="00A815B9" w:rsidRDefault="008E608A" w:rsidP="001E07B7">
            <w:pPr>
              <w:spacing w:after="80" w:line="276" w:lineRule="auto"/>
              <w:jc w:val="both"/>
              <w:rPr>
                <w:rFonts w:ascii="Tahoma" w:hAnsi="Tahoma" w:cs="Tahoma"/>
              </w:rPr>
            </w:pPr>
            <w:proofErr w:type="spellStart"/>
            <w:r w:rsidRPr="00A815B9">
              <w:rPr>
                <w:rFonts w:ascii="Tahoma" w:hAnsi="Tahoma" w:cs="Tahoma"/>
                <w:color w:val="000000"/>
                <w:sz w:val="20"/>
                <w:szCs w:val="20"/>
              </w:rPr>
              <w:t>Landfolio</w:t>
            </w:r>
            <w:proofErr w:type="spellEnd"/>
            <w:r w:rsidRPr="00A815B9">
              <w:rPr>
                <w:rFonts w:ascii="Tahoma" w:hAnsi="Tahoma" w:cs="Tahoma"/>
                <w:color w:val="000000"/>
                <w:sz w:val="20"/>
                <w:szCs w:val="20"/>
              </w:rPr>
              <w:t xml:space="preserve"> / DGMG</w:t>
            </w:r>
          </w:p>
        </w:tc>
        <w:tc>
          <w:tcPr>
            <w:tcW w:w="5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EB05662"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Nombre et statut des titres actifs</w:t>
            </w:r>
          </w:p>
        </w:tc>
      </w:tr>
    </w:tbl>
    <w:p w14:paraId="07CB80C0" w14:textId="77777777" w:rsidR="008E608A" w:rsidRDefault="008E608A" w:rsidP="008E608A">
      <w:pPr>
        <w:spacing w:after="80" w:line="276" w:lineRule="auto"/>
        <w:jc w:val="both"/>
        <w:rPr>
          <w:rFonts w:ascii="Tahoma" w:hAnsi="Tahoma" w:cs="Tahoma"/>
        </w:rPr>
      </w:pPr>
    </w:p>
    <w:p w14:paraId="2516FA6D" w14:textId="77777777" w:rsidR="008E608A" w:rsidRPr="00A815B9" w:rsidRDefault="008E608A" w:rsidP="008E608A">
      <w:pPr>
        <w:pStyle w:val="Titre2"/>
        <w:spacing w:after="80" w:line="276" w:lineRule="auto"/>
        <w:jc w:val="both"/>
        <w:rPr>
          <w:rFonts w:ascii="Tahoma" w:hAnsi="Tahoma" w:cs="Tahoma"/>
        </w:rPr>
      </w:pPr>
      <w:bookmarkStart w:id="26" w:name="_Toc230168248"/>
      <w:r>
        <w:rPr>
          <w:rFonts w:ascii="Tahoma" w:hAnsi="Tahoma" w:cs="Tahoma"/>
        </w:rPr>
        <w:t>S</w:t>
      </w:r>
      <w:r w:rsidRPr="00A815B9">
        <w:rPr>
          <w:rFonts w:ascii="Tahoma" w:hAnsi="Tahoma" w:cs="Tahoma"/>
        </w:rPr>
        <w:t>ynthèse globale</w:t>
      </w:r>
      <w:r>
        <w:rPr>
          <w:rFonts w:ascii="Tahoma" w:hAnsi="Tahoma" w:cs="Tahoma"/>
        </w:rPr>
        <w:t xml:space="preserve"> 2020 - 2024</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2001"/>
        <w:gridCol w:w="2045"/>
        <w:gridCol w:w="1516"/>
        <w:gridCol w:w="2092"/>
      </w:tblGrid>
      <w:tr w:rsidR="008E608A" w:rsidRPr="00A815B9" w14:paraId="5D4AD195" w14:textId="77777777" w:rsidTr="001E07B7">
        <w:tblPrEx>
          <w:tblCellMar>
            <w:top w:w="0" w:type="dxa"/>
            <w:bottom w:w="0" w:type="dxa"/>
          </w:tblCellMar>
        </w:tblPrEx>
        <w:trPr>
          <w:trHeight w:val="701"/>
          <w:tblHeader/>
        </w:trPr>
        <w:tc>
          <w:tcPr>
            <w:tcW w:w="1417"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D91F5AB"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Année</w:t>
            </w:r>
          </w:p>
        </w:tc>
        <w:tc>
          <w:tcPr>
            <w:tcW w:w="2001"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38AABA9"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 xml:space="preserve">Import. </w:t>
            </w:r>
            <w:proofErr w:type="spellStart"/>
            <w:r w:rsidRPr="00A815B9">
              <w:rPr>
                <w:rFonts w:ascii="Tahoma" w:hAnsi="Tahoma" w:cs="Tahoma"/>
                <w:b/>
                <w:bCs/>
                <w:color w:val="FFFFFF"/>
                <w:sz w:val="19"/>
                <w:szCs w:val="19"/>
              </w:rPr>
              <w:t>Comtrade</w:t>
            </w:r>
            <w:proofErr w:type="spellEnd"/>
            <w:r w:rsidRPr="00A815B9">
              <w:rPr>
                <w:rFonts w:ascii="Tahoma" w:hAnsi="Tahoma" w:cs="Tahoma"/>
                <w:b/>
                <w:bCs/>
                <w:color w:val="FFFFFF"/>
                <w:sz w:val="19"/>
                <w:szCs w:val="19"/>
              </w:rPr>
              <w:t xml:space="preserve"> (t</w:t>
            </w:r>
            <w:r>
              <w:rPr>
                <w:rFonts w:ascii="Tahoma" w:hAnsi="Tahoma" w:cs="Tahoma"/>
                <w:b/>
                <w:bCs/>
                <w:color w:val="FFFFFF"/>
                <w:sz w:val="19"/>
                <w:szCs w:val="19"/>
              </w:rPr>
              <w:t>onnes</w:t>
            </w:r>
            <w:r w:rsidRPr="00A815B9">
              <w:rPr>
                <w:rFonts w:ascii="Tahoma" w:hAnsi="Tahoma" w:cs="Tahoma"/>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59E86D0D"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Export. ITIE (</w:t>
            </w:r>
            <w:r w:rsidRPr="00BC3AF0">
              <w:rPr>
                <w:rFonts w:ascii="Tahoma" w:hAnsi="Tahoma" w:cs="Tahoma"/>
                <w:b/>
                <w:bCs/>
                <w:color w:val="FFFFFF"/>
                <w:sz w:val="19"/>
                <w:szCs w:val="19"/>
              </w:rPr>
              <w:t>tonnes</w:t>
            </w:r>
            <w:r w:rsidRPr="00A815B9">
              <w:rPr>
                <w:rFonts w:ascii="Tahoma" w:hAnsi="Tahoma" w:cs="Tahoma"/>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4AC72D3"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Écart (</w:t>
            </w:r>
            <w:r w:rsidRPr="00BC3AF0">
              <w:rPr>
                <w:rFonts w:ascii="Tahoma" w:hAnsi="Tahoma" w:cs="Tahoma"/>
                <w:b/>
                <w:bCs/>
                <w:color w:val="FFFFFF"/>
                <w:sz w:val="19"/>
                <w:szCs w:val="19"/>
              </w:rPr>
              <w:t>tonnes</w:t>
            </w:r>
            <w:r w:rsidRPr="00A815B9">
              <w:rPr>
                <w:rFonts w:ascii="Tahoma" w:hAnsi="Tahoma" w:cs="Tahoma"/>
                <w:b/>
                <w:bCs/>
                <w:color w:val="FFFFFF"/>
                <w:sz w:val="19"/>
                <w:szCs w:val="19"/>
              </w:rPr>
              <w:t>)</w:t>
            </w:r>
          </w:p>
        </w:tc>
        <w:tc>
          <w:tcPr>
            <w:tcW w:w="209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6BDE018"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Taux non-</w:t>
            </w:r>
            <w:proofErr w:type="spellStart"/>
            <w:r w:rsidRPr="00A815B9">
              <w:rPr>
                <w:rFonts w:ascii="Tahoma" w:hAnsi="Tahoma" w:cs="Tahoma"/>
                <w:b/>
                <w:bCs/>
                <w:color w:val="FFFFFF"/>
                <w:sz w:val="19"/>
                <w:szCs w:val="19"/>
              </w:rPr>
              <w:t>décl</w:t>
            </w:r>
            <w:proofErr w:type="spellEnd"/>
            <w:r w:rsidRPr="00A815B9">
              <w:rPr>
                <w:rFonts w:ascii="Tahoma" w:hAnsi="Tahoma" w:cs="Tahoma"/>
                <w:b/>
                <w:bCs/>
                <w:color w:val="FFFFFF"/>
                <w:sz w:val="19"/>
                <w:szCs w:val="19"/>
              </w:rPr>
              <w:t>. (%)</w:t>
            </w:r>
          </w:p>
        </w:tc>
      </w:tr>
      <w:tr w:rsidR="008E608A" w:rsidRPr="00A815B9" w14:paraId="2B730634" w14:textId="77777777" w:rsidTr="001E07B7">
        <w:tblPrEx>
          <w:tblCellMar>
            <w:top w:w="0" w:type="dxa"/>
            <w:bottom w:w="0" w:type="dxa"/>
          </w:tblCellMar>
        </w:tblPrEx>
        <w:trPr>
          <w:trHeight w:val="350"/>
        </w:trPr>
        <w:tc>
          <w:tcPr>
            <w:tcW w:w="141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A572B4E"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2020</w:t>
            </w:r>
          </w:p>
        </w:tc>
        <w:tc>
          <w:tcPr>
            <w:tcW w:w="200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D251193"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24,897</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21FFDC2" w14:textId="77777777" w:rsidR="008E608A" w:rsidRPr="00534905" w:rsidRDefault="008E608A" w:rsidP="001E07B7">
            <w:pPr>
              <w:spacing w:after="80" w:line="276" w:lineRule="auto"/>
              <w:jc w:val="both"/>
              <w:rPr>
                <w:rFonts w:ascii="Tahoma" w:hAnsi="Tahoma" w:cs="Tahoma"/>
              </w:rPr>
            </w:pPr>
            <w:r w:rsidRPr="00534905">
              <w:rPr>
                <w:rFonts w:ascii="Tahoma" w:hAnsi="Tahoma" w:cs="Tahoma"/>
                <w:color w:val="000000"/>
                <w:sz w:val="20"/>
                <w:szCs w:val="20"/>
              </w:rPr>
              <w:t>12,354</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056CEA6"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12,543</w:t>
            </w:r>
          </w:p>
        </w:tc>
        <w:tc>
          <w:tcPr>
            <w:tcW w:w="20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D42819B"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50,4 %</w:t>
            </w:r>
          </w:p>
        </w:tc>
      </w:tr>
      <w:tr w:rsidR="008E608A" w:rsidRPr="00A815B9" w14:paraId="7F1900C3" w14:textId="77777777" w:rsidTr="001E07B7">
        <w:tblPrEx>
          <w:tblCellMar>
            <w:top w:w="0" w:type="dxa"/>
            <w:bottom w:w="0" w:type="dxa"/>
          </w:tblCellMar>
        </w:tblPrEx>
        <w:trPr>
          <w:trHeight w:val="371"/>
        </w:trPr>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6C1CC22"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2021</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3C12CFD"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20,127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4E7AA79" w14:textId="77777777" w:rsidR="008E608A" w:rsidRPr="00534905" w:rsidRDefault="008E608A" w:rsidP="001E07B7">
            <w:pPr>
              <w:spacing w:after="80" w:line="276" w:lineRule="auto"/>
              <w:jc w:val="both"/>
              <w:rPr>
                <w:rFonts w:ascii="Tahoma" w:hAnsi="Tahoma" w:cs="Tahoma"/>
              </w:rPr>
            </w:pPr>
            <w:r w:rsidRPr="00534905">
              <w:rPr>
                <w:rFonts w:ascii="Tahoma" w:hAnsi="Tahoma" w:cs="Tahoma"/>
                <w:color w:val="000000"/>
                <w:sz w:val="20"/>
                <w:szCs w:val="20"/>
              </w:rPr>
              <w:t>15,873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6839F26"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4,254</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27D61AC"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21,1 %</w:t>
            </w:r>
          </w:p>
        </w:tc>
      </w:tr>
      <w:tr w:rsidR="008E608A" w:rsidRPr="00A815B9" w14:paraId="4ABDAFDF" w14:textId="77777777" w:rsidTr="001E07B7">
        <w:tblPrEx>
          <w:tblCellMar>
            <w:top w:w="0" w:type="dxa"/>
            <w:bottom w:w="0" w:type="dxa"/>
          </w:tblCellMar>
        </w:tblPrEx>
        <w:trPr>
          <w:trHeight w:val="371"/>
        </w:trPr>
        <w:tc>
          <w:tcPr>
            <w:tcW w:w="141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D3F2DA6"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2022</w:t>
            </w:r>
          </w:p>
        </w:tc>
        <w:tc>
          <w:tcPr>
            <w:tcW w:w="200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BC74066"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18,989</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5FE7614" w14:textId="77777777" w:rsidR="008E608A" w:rsidRPr="00534905" w:rsidRDefault="008E608A" w:rsidP="001E07B7">
            <w:pPr>
              <w:spacing w:after="80" w:line="276" w:lineRule="auto"/>
              <w:jc w:val="both"/>
              <w:rPr>
                <w:rFonts w:ascii="Tahoma" w:hAnsi="Tahoma" w:cs="Tahoma"/>
              </w:rPr>
            </w:pPr>
            <w:r w:rsidRPr="00534905">
              <w:rPr>
                <w:rFonts w:ascii="Tahoma" w:hAnsi="Tahoma" w:cs="Tahoma"/>
                <w:color w:val="000000"/>
                <w:sz w:val="20"/>
                <w:szCs w:val="20"/>
              </w:rPr>
              <w:t>16,372</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E049BD5"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2,618</w:t>
            </w:r>
          </w:p>
        </w:tc>
        <w:tc>
          <w:tcPr>
            <w:tcW w:w="20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1DB078F"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13,8 %</w:t>
            </w:r>
          </w:p>
        </w:tc>
      </w:tr>
      <w:tr w:rsidR="008E608A" w:rsidRPr="00A815B9" w14:paraId="15AF3C48" w14:textId="77777777" w:rsidTr="001E07B7">
        <w:tblPrEx>
          <w:tblCellMar>
            <w:top w:w="0" w:type="dxa"/>
            <w:bottom w:w="0" w:type="dxa"/>
          </w:tblCellMar>
        </w:tblPrEx>
        <w:trPr>
          <w:trHeight w:val="350"/>
        </w:trPr>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A10DD52"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2023</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407856E"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18,447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F96A35A" w14:textId="77777777" w:rsidR="008E608A" w:rsidRPr="00534905" w:rsidRDefault="008E608A" w:rsidP="001E07B7">
            <w:pPr>
              <w:spacing w:after="80" w:line="276" w:lineRule="auto"/>
              <w:jc w:val="both"/>
              <w:rPr>
                <w:rFonts w:ascii="Tahoma" w:hAnsi="Tahoma" w:cs="Tahoma"/>
              </w:rPr>
            </w:pPr>
            <w:r w:rsidRPr="00534905">
              <w:rPr>
                <w:rFonts w:ascii="Tahoma" w:hAnsi="Tahoma" w:cs="Tahoma"/>
                <w:color w:val="000000"/>
                <w:sz w:val="20"/>
                <w:szCs w:val="20"/>
              </w:rPr>
              <w:t>12,959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1059E17"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5,488</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F8ED5DD"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29,8 %</w:t>
            </w:r>
          </w:p>
        </w:tc>
      </w:tr>
      <w:tr w:rsidR="008E608A" w:rsidRPr="00A815B9" w14:paraId="75C7C0E7" w14:textId="77777777" w:rsidTr="001E07B7">
        <w:tblPrEx>
          <w:tblCellMar>
            <w:top w:w="0" w:type="dxa"/>
            <w:bottom w:w="0" w:type="dxa"/>
          </w:tblCellMar>
        </w:tblPrEx>
        <w:trPr>
          <w:trHeight w:val="371"/>
        </w:trPr>
        <w:tc>
          <w:tcPr>
            <w:tcW w:w="141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EA84415"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2024</w:t>
            </w:r>
          </w:p>
        </w:tc>
        <w:tc>
          <w:tcPr>
            <w:tcW w:w="200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848E719"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11,188</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FD65B29" w14:textId="77777777" w:rsidR="008E608A" w:rsidRPr="00534905" w:rsidRDefault="008E608A" w:rsidP="001E07B7">
            <w:pPr>
              <w:spacing w:after="80" w:line="276" w:lineRule="auto"/>
              <w:jc w:val="both"/>
              <w:rPr>
                <w:rFonts w:ascii="Tahoma" w:hAnsi="Tahoma" w:cs="Tahoma"/>
              </w:rPr>
            </w:pPr>
            <w:r w:rsidRPr="00534905">
              <w:rPr>
                <w:rFonts w:ascii="Tahoma" w:hAnsi="Tahoma" w:cs="Tahoma"/>
                <w:color w:val="000000"/>
                <w:sz w:val="20"/>
                <w:szCs w:val="20"/>
              </w:rPr>
              <w:t>10,670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D740CC3"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0,518</w:t>
            </w:r>
          </w:p>
        </w:tc>
        <w:tc>
          <w:tcPr>
            <w:tcW w:w="20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81A58A7" w14:textId="77777777" w:rsidR="008E608A" w:rsidRPr="00534905" w:rsidRDefault="008E608A" w:rsidP="001E07B7">
            <w:pPr>
              <w:spacing w:after="80" w:line="276" w:lineRule="auto"/>
              <w:jc w:val="both"/>
              <w:rPr>
                <w:rFonts w:ascii="Tahoma" w:hAnsi="Tahoma" w:cs="Tahoma"/>
              </w:rPr>
            </w:pPr>
            <w:r w:rsidRPr="00534905">
              <w:rPr>
                <w:rFonts w:ascii="Tahoma" w:hAnsi="Tahoma" w:cs="Tahoma"/>
                <w:sz w:val="20"/>
                <w:szCs w:val="20"/>
              </w:rPr>
              <w:t>4,6 %</w:t>
            </w:r>
          </w:p>
        </w:tc>
      </w:tr>
      <w:tr w:rsidR="008E608A" w:rsidRPr="00A815B9" w14:paraId="33E333A8" w14:textId="77777777" w:rsidTr="001E07B7">
        <w:tblPrEx>
          <w:tblCellMar>
            <w:top w:w="0" w:type="dxa"/>
            <w:bottom w:w="0" w:type="dxa"/>
          </w:tblCellMar>
        </w:tblPrEx>
        <w:trPr>
          <w:trHeight w:val="371"/>
        </w:trPr>
        <w:tc>
          <w:tcPr>
            <w:tcW w:w="14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0B404DA4"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TOTAL</w:t>
            </w:r>
          </w:p>
        </w:tc>
        <w:tc>
          <w:tcPr>
            <w:tcW w:w="200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3CEF3976"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93,649</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407C3624"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68,228</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7835C77C" w14:textId="77777777" w:rsidR="008E608A" w:rsidRPr="00754D72" w:rsidRDefault="008E608A" w:rsidP="001E07B7">
            <w:pPr>
              <w:spacing w:after="80" w:line="276" w:lineRule="auto"/>
              <w:jc w:val="both"/>
              <w:rPr>
                <w:rFonts w:ascii="Tahoma" w:hAnsi="Tahoma" w:cs="Tahoma"/>
              </w:rPr>
            </w:pPr>
            <w:r w:rsidRPr="00754D72">
              <w:rPr>
                <w:rFonts w:ascii="Tahoma" w:hAnsi="Tahoma" w:cs="Tahoma"/>
                <w:b/>
                <w:bCs/>
                <w:sz w:val="20"/>
                <w:szCs w:val="20"/>
              </w:rPr>
              <w:t>25,421</w:t>
            </w:r>
          </w:p>
        </w:tc>
        <w:tc>
          <w:tcPr>
            <w:tcW w:w="209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4232DA08" w14:textId="77777777" w:rsidR="008E608A" w:rsidRPr="00754D72" w:rsidRDefault="008E608A" w:rsidP="001E07B7">
            <w:pPr>
              <w:spacing w:after="80" w:line="276" w:lineRule="auto"/>
              <w:jc w:val="both"/>
              <w:rPr>
                <w:rFonts w:ascii="Tahoma" w:hAnsi="Tahoma" w:cs="Tahoma"/>
              </w:rPr>
            </w:pPr>
            <w:r w:rsidRPr="00754D72">
              <w:rPr>
                <w:rFonts w:ascii="Tahoma" w:hAnsi="Tahoma" w:cs="Tahoma"/>
                <w:b/>
                <w:bCs/>
                <w:sz w:val="20"/>
                <w:szCs w:val="20"/>
              </w:rPr>
              <w:t>27,1 %</w:t>
            </w:r>
          </w:p>
        </w:tc>
      </w:tr>
    </w:tbl>
    <w:p w14:paraId="2E418A33" w14:textId="77777777" w:rsidR="008E608A" w:rsidRDefault="008E608A" w:rsidP="008E608A">
      <w:pPr>
        <w:spacing w:after="80" w:line="276" w:lineRule="auto"/>
        <w:jc w:val="both"/>
        <w:rPr>
          <w:rFonts w:ascii="Tahoma" w:hAnsi="Tahoma" w:cs="Tahoma"/>
          <w:color w:val="666666"/>
          <w:sz w:val="18"/>
          <w:szCs w:val="18"/>
        </w:rPr>
      </w:pPr>
      <w:r w:rsidRPr="00A815B9">
        <w:rPr>
          <w:rFonts w:ascii="Tahoma" w:hAnsi="Tahoma" w:cs="Tahoma"/>
          <w:color w:val="666666"/>
          <w:sz w:val="18"/>
          <w:szCs w:val="18"/>
        </w:rPr>
        <w:t xml:space="preserve">Sources : UN </w:t>
      </w:r>
      <w:proofErr w:type="spellStart"/>
      <w:r w:rsidRPr="00A815B9">
        <w:rPr>
          <w:rFonts w:ascii="Tahoma" w:hAnsi="Tahoma" w:cs="Tahoma"/>
          <w:color w:val="666666"/>
          <w:sz w:val="18"/>
          <w:szCs w:val="18"/>
        </w:rPr>
        <w:t>Comtrade</w:t>
      </w:r>
      <w:proofErr w:type="spellEnd"/>
      <w:r w:rsidRPr="00A815B9">
        <w:rPr>
          <w:rFonts w:ascii="Tahoma" w:hAnsi="Tahoma" w:cs="Tahoma"/>
          <w:color w:val="666666"/>
          <w:sz w:val="18"/>
          <w:szCs w:val="18"/>
        </w:rPr>
        <w:t xml:space="preserve"> (importations), Rapports ITIE (exportations). Calculs CN-ITIE.</w:t>
      </w:r>
    </w:p>
    <w:p w14:paraId="235F9C06" w14:textId="77777777" w:rsidR="008E608A" w:rsidRDefault="008E608A" w:rsidP="008E608A">
      <w:pPr>
        <w:spacing w:after="80" w:line="276" w:lineRule="auto"/>
        <w:jc w:val="both"/>
        <w:rPr>
          <w:rFonts w:ascii="Tahoma" w:hAnsi="Tahoma" w:cs="Tahoma"/>
        </w:rPr>
      </w:pPr>
    </w:p>
    <w:p w14:paraId="25F14F53" w14:textId="77777777" w:rsidR="008E608A" w:rsidRPr="00A815B9" w:rsidRDefault="008E608A" w:rsidP="008E608A">
      <w:pPr>
        <w:spacing w:after="80" w:line="276" w:lineRule="auto"/>
        <w:jc w:val="both"/>
        <w:rPr>
          <w:rFonts w:ascii="Tahoma" w:hAnsi="Tahoma" w:cs="Tahoma"/>
        </w:rPr>
      </w:pPr>
      <w:r>
        <w:rPr>
          <w:noProof/>
        </w:rPr>
        <w:lastRenderedPageBreak/>
        <w:drawing>
          <wp:anchor distT="0" distB="0" distL="114300" distR="114300" simplePos="0" relativeHeight="251659264" behindDoc="0" locked="0" layoutInCell="1" allowOverlap="1" wp14:anchorId="3D000250" wp14:editId="446589A2">
            <wp:simplePos x="0" y="0"/>
            <wp:positionH relativeFrom="column">
              <wp:posOffset>36195</wp:posOffset>
            </wp:positionH>
            <wp:positionV relativeFrom="paragraph">
              <wp:posOffset>104140</wp:posOffset>
            </wp:positionV>
            <wp:extent cx="5511800" cy="2544445"/>
            <wp:effectExtent l="0" t="0" r="12700" b="8255"/>
            <wp:wrapSquare wrapText="bothSides"/>
            <wp:docPr id="7" name="Graphique 7">
              <a:extLst xmlns:a="http://schemas.openxmlformats.org/drawingml/2006/main">
                <a:ext uri="{FF2B5EF4-FFF2-40B4-BE49-F238E27FC236}">
                  <a16:creationId xmlns:a16="http://schemas.microsoft.com/office/drawing/2014/main" id="{42D135C9-7F81-A6FF-1425-71FBD8F1DD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357CDF05" w14:textId="77777777" w:rsidR="008E608A" w:rsidRDefault="008E608A" w:rsidP="008E608A">
      <w:pPr>
        <w:spacing w:after="80" w:line="276" w:lineRule="auto"/>
        <w:jc w:val="both"/>
        <w:rPr>
          <w:rFonts w:ascii="Tahoma" w:hAnsi="Tahoma" w:cs="Tahoma"/>
        </w:rPr>
      </w:pPr>
    </w:p>
    <w:p w14:paraId="1284A1AE" w14:textId="77777777" w:rsidR="008E608A" w:rsidRPr="00A815B9" w:rsidRDefault="008E608A" w:rsidP="008E608A">
      <w:pPr>
        <w:spacing w:after="80" w:line="276" w:lineRule="auto"/>
        <w:jc w:val="both"/>
        <w:rPr>
          <w:rFonts w:ascii="Tahoma" w:hAnsi="Tahoma" w:cs="Tahoma"/>
        </w:rPr>
      </w:pPr>
      <w:r>
        <w:rPr>
          <w:rFonts w:ascii="Tahoma" w:hAnsi="Tahoma" w:cs="Tahoma"/>
        </w:rPr>
        <w:br w:type="textWrapping" w:clear="all"/>
      </w:r>
      <w:r w:rsidRPr="00A815B9">
        <w:rPr>
          <w:rFonts w:ascii="Tahoma" w:hAnsi="Tahoma" w:cs="Tahoma"/>
          <w:i/>
          <w:iCs/>
          <w:color w:val="555555"/>
          <w:sz w:val="19"/>
          <w:szCs w:val="19"/>
        </w:rPr>
        <w:t xml:space="preserve">Figure 1 </w:t>
      </w:r>
      <w:r>
        <w:rPr>
          <w:rFonts w:ascii="Tahoma" w:hAnsi="Tahoma" w:cs="Tahoma"/>
          <w:i/>
          <w:iCs/>
          <w:color w:val="555555"/>
          <w:sz w:val="19"/>
          <w:szCs w:val="19"/>
        </w:rPr>
        <w:t>-</w:t>
      </w:r>
      <w:r w:rsidRPr="00A815B9">
        <w:rPr>
          <w:rFonts w:ascii="Tahoma" w:hAnsi="Tahoma" w:cs="Tahoma"/>
          <w:i/>
          <w:iCs/>
          <w:color w:val="555555"/>
          <w:sz w:val="19"/>
          <w:szCs w:val="19"/>
        </w:rPr>
        <w:t xml:space="preserve"> Comparaison annuelle : importations déclarées (UN </w:t>
      </w:r>
      <w:proofErr w:type="spellStart"/>
      <w:r w:rsidRPr="00A815B9">
        <w:rPr>
          <w:rFonts w:ascii="Tahoma" w:hAnsi="Tahoma" w:cs="Tahoma"/>
          <w:i/>
          <w:iCs/>
          <w:color w:val="555555"/>
          <w:sz w:val="19"/>
          <w:szCs w:val="19"/>
        </w:rPr>
        <w:t>Comtrade</w:t>
      </w:r>
      <w:proofErr w:type="spellEnd"/>
      <w:r w:rsidRPr="00A815B9">
        <w:rPr>
          <w:rFonts w:ascii="Tahoma" w:hAnsi="Tahoma" w:cs="Tahoma"/>
          <w:i/>
          <w:iCs/>
          <w:color w:val="555555"/>
          <w:sz w:val="19"/>
          <w:szCs w:val="19"/>
        </w:rPr>
        <w:t>) vs exportations ITIE et estimation de l'écart de déclaration (2020–2024).</w:t>
      </w:r>
    </w:p>
    <w:p w14:paraId="053B420B" w14:textId="77777777" w:rsidR="008E608A" w:rsidRPr="00A815B9" w:rsidRDefault="008E608A" w:rsidP="008E608A">
      <w:pPr>
        <w:spacing w:after="80" w:line="276" w:lineRule="auto"/>
        <w:jc w:val="both"/>
        <w:rPr>
          <w:rFonts w:ascii="Tahoma" w:hAnsi="Tahoma" w:cs="Tahoma"/>
        </w:rPr>
      </w:pPr>
    </w:p>
    <w:p w14:paraId="4D614B74" w14:textId="77777777" w:rsidR="008E608A" w:rsidRPr="00B70092" w:rsidRDefault="008E608A" w:rsidP="008E608A">
      <w:pPr>
        <w:spacing w:after="80" w:line="276" w:lineRule="auto"/>
        <w:jc w:val="both"/>
        <w:rPr>
          <w:rFonts w:ascii="Tahoma" w:hAnsi="Tahoma" w:cs="Tahoma"/>
          <w:color w:val="000000"/>
        </w:rPr>
      </w:pPr>
      <w:r w:rsidRPr="00B70092">
        <w:rPr>
          <w:rFonts w:ascii="Tahoma" w:hAnsi="Tahoma" w:cs="Tahoma"/>
          <w:color w:val="000000"/>
        </w:rPr>
        <w:t>L’année 2020 constitue le point de divergence maximal de la série, avec un écart de 12,543 tonnes correspondant à un taux de non-déclaration de 50,4 %. Ce niveau particulièrement élevé traduit vraisemblablement</w:t>
      </w:r>
      <w:r>
        <w:rPr>
          <w:rFonts w:ascii="Tahoma" w:hAnsi="Tahoma" w:cs="Tahoma"/>
          <w:color w:val="000000"/>
        </w:rPr>
        <w:t xml:space="preserve"> </w:t>
      </w:r>
      <w:r w:rsidRPr="00B70092">
        <w:rPr>
          <w:rFonts w:ascii="Tahoma" w:hAnsi="Tahoma" w:cs="Tahoma"/>
          <w:color w:val="000000"/>
        </w:rPr>
        <w:t>la faiblesse des mécanismes de contrôle</w:t>
      </w:r>
      <w:r>
        <w:rPr>
          <w:rFonts w:ascii="Tahoma" w:hAnsi="Tahoma" w:cs="Tahoma"/>
          <w:color w:val="000000"/>
        </w:rPr>
        <w:t xml:space="preserve">, </w:t>
      </w:r>
      <w:r w:rsidRPr="00B70092">
        <w:rPr>
          <w:rFonts w:ascii="Tahoma" w:hAnsi="Tahoma" w:cs="Tahoma"/>
          <w:color w:val="000000"/>
        </w:rPr>
        <w:t>l’importance des circuits informels de commercialisation</w:t>
      </w:r>
      <w:r>
        <w:rPr>
          <w:rFonts w:ascii="Tahoma" w:hAnsi="Tahoma" w:cs="Tahoma"/>
          <w:color w:val="000000"/>
        </w:rPr>
        <w:t xml:space="preserve"> </w:t>
      </w:r>
      <w:r w:rsidRPr="00B70092">
        <w:rPr>
          <w:rFonts w:ascii="Tahoma" w:hAnsi="Tahoma" w:cs="Tahoma"/>
          <w:color w:val="000000"/>
        </w:rPr>
        <w:t>et la forte porosité des frontières terrestres dans les zones aurifères.</w:t>
      </w:r>
    </w:p>
    <w:p w14:paraId="28988878" w14:textId="77777777" w:rsidR="008E608A" w:rsidRPr="00B70092" w:rsidRDefault="008E608A" w:rsidP="008E608A">
      <w:pPr>
        <w:spacing w:after="80" w:line="276" w:lineRule="auto"/>
        <w:jc w:val="both"/>
        <w:rPr>
          <w:rFonts w:ascii="Tahoma" w:hAnsi="Tahoma" w:cs="Tahoma"/>
          <w:color w:val="000000"/>
        </w:rPr>
      </w:pPr>
      <w:r w:rsidRPr="00B70092">
        <w:rPr>
          <w:rFonts w:ascii="Tahoma" w:hAnsi="Tahoma" w:cs="Tahoma"/>
          <w:color w:val="000000"/>
        </w:rPr>
        <w:t>Entre 2021 et 2022, les écarts reculent progressivement pour atteindre 2,618 tonnes en 2022, soit 13,8 % des volumes importés déclarés. Cette évolution peut refléter une amélioration partielle des mécanismes déclaratifs ou un renforcement ponctuel du contrôle des exportations.</w:t>
      </w:r>
    </w:p>
    <w:p w14:paraId="7EB82993" w14:textId="77777777" w:rsidR="008E608A" w:rsidRPr="00B70092" w:rsidRDefault="008E608A" w:rsidP="008E608A">
      <w:pPr>
        <w:spacing w:after="80" w:line="276" w:lineRule="auto"/>
        <w:jc w:val="both"/>
        <w:rPr>
          <w:rFonts w:ascii="Tahoma" w:hAnsi="Tahoma" w:cs="Tahoma"/>
          <w:color w:val="000000"/>
        </w:rPr>
      </w:pPr>
      <w:r w:rsidRPr="00B70092">
        <w:rPr>
          <w:rFonts w:ascii="Tahoma" w:hAnsi="Tahoma" w:cs="Tahoma"/>
          <w:color w:val="000000"/>
        </w:rPr>
        <w:t xml:space="preserve">Toutefois, l’année 2023 marque une nouvelle dégradation avec un rebond de l’écart à 5,488 tonnes (29,8 %), </w:t>
      </w:r>
      <w:r>
        <w:rPr>
          <w:rFonts w:ascii="Tahoma" w:hAnsi="Tahoma" w:cs="Tahoma"/>
          <w:color w:val="000000"/>
        </w:rPr>
        <w:t>montrant</w:t>
      </w:r>
      <w:r w:rsidRPr="00B70092">
        <w:rPr>
          <w:rFonts w:ascii="Tahoma" w:hAnsi="Tahoma" w:cs="Tahoma"/>
          <w:color w:val="000000"/>
        </w:rPr>
        <w:t xml:space="preserve"> une recrudescence des flux non enregistrés.</w:t>
      </w:r>
    </w:p>
    <w:p w14:paraId="7A1FDF44" w14:textId="77777777" w:rsidR="008E608A" w:rsidRDefault="008E608A" w:rsidP="008E608A">
      <w:pPr>
        <w:spacing w:after="80" w:line="276" w:lineRule="auto"/>
        <w:jc w:val="both"/>
        <w:rPr>
          <w:rFonts w:ascii="Tahoma" w:hAnsi="Tahoma" w:cs="Tahoma"/>
          <w:color w:val="000000"/>
        </w:rPr>
      </w:pPr>
      <w:r w:rsidRPr="00B70092">
        <w:rPr>
          <w:rFonts w:ascii="Tahoma" w:hAnsi="Tahoma" w:cs="Tahoma"/>
          <w:color w:val="000000"/>
        </w:rPr>
        <w:t>En 2024, l’écart global chute à 0,518 tonne (4,6 %). Cette amélioration masque encore des asymétries bilatérales importantes sur certains corridors stratégiques, notamment avec la Suisse</w:t>
      </w:r>
      <w:r>
        <w:rPr>
          <w:rFonts w:ascii="Tahoma" w:hAnsi="Tahoma" w:cs="Tahoma"/>
          <w:color w:val="000000"/>
        </w:rPr>
        <w:t xml:space="preserve"> </w:t>
      </w:r>
      <w:r w:rsidRPr="00B70092">
        <w:rPr>
          <w:rFonts w:ascii="Tahoma" w:hAnsi="Tahoma" w:cs="Tahoma"/>
          <w:color w:val="000000"/>
        </w:rPr>
        <w:t>(8,1 tonnes importées contre 3,3 tonnes d’exportations ITIE déclarées vers ce pays).</w:t>
      </w:r>
    </w:p>
    <w:p w14:paraId="33C51F14" w14:textId="77777777" w:rsidR="008E608A" w:rsidRDefault="008E608A" w:rsidP="008E608A">
      <w:pPr>
        <w:spacing w:after="80" w:line="276" w:lineRule="auto"/>
        <w:jc w:val="both"/>
        <w:rPr>
          <w:rFonts w:ascii="Tahoma" w:hAnsi="Tahoma" w:cs="Tahoma"/>
        </w:rPr>
      </w:pPr>
      <w:r w:rsidRPr="001774C1">
        <w:rPr>
          <w:rFonts w:ascii="Tahoma" w:hAnsi="Tahoma" w:cs="Tahoma"/>
        </w:rPr>
        <w:t>Le tableau synthétique ci-dessous présente la répartition cumulée sur 2020</w:t>
      </w:r>
      <w:r>
        <w:rPr>
          <w:rFonts w:ascii="Tahoma" w:hAnsi="Tahoma" w:cs="Tahoma"/>
        </w:rPr>
        <w:t>-</w:t>
      </w:r>
      <w:r w:rsidRPr="001774C1">
        <w:rPr>
          <w:rFonts w:ascii="Tahoma" w:hAnsi="Tahoma" w:cs="Tahoma"/>
        </w:rPr>
        <w:t>2024.</w:t>
      </w:r>
    </w:p>
    <w:p w14:paraId="2C4600FB" w14:textId="77777777" w:rsidR="008E608A" w:rsidRDefault="008E608A" w:rsidP="008E608A">
      <w:pPr>
        <w:spacing w:after="80" w:line="276" w:lineRule="auto"/>
        <w:jc w:val="both"/>
        <w:rPr>
          <w:rFonts w:ascii="Tahoma" w:hAnsi="Tahoma" w:cs="Tahoma"/>
          <w:color w:val="000000"/>
          <w:sz w:val="20"/>
          <w:szCs w:val="20"/>
        </w:rPr>
      </w:pPr>
    </w:p>
    <w:p w14:paraId="14A0784D" w14:textId="77777777" w:rsidR="008E608A" w:rsidRDefault="008E608A" w:rsidP="008E608A">
      <w:pPr>
        <w:spacing w:before="120" w:after="80" w:line="276" w:lineRule="auto"/>
        <w:jc w:val="both"/>
        <w:rPr>
          <w:rFonts w:ascii="Tahoma" w:hAnsi="Tahoma" w:cs="Tahoma"/>
          <w:color w:val="000000"/>
          <w:sz w:val="20"/>
          <w:szCs w:val="20"/>
        </w:rPr>
      </w:pPr>
      <w:r>
        <w:rPr>
          <w:rFonts w:ascii="Tahoma" w:hAnsi="Tahoma" w:cs="Tahoma"/>
          <w:b/>
          <w:bCs/>
          <w:color w:val="000000"/>
          <w:sz w:val="20"/>
          <w:szCs w:val="20"/>
        </w:rPr>
        <w:t>Tableau : Répartition cumulée des importations déclarées par pays partenaire (2020–2024)</w:t>
      </w:r>
    </w:p>
    <w:tbl>
      <w:tblPr>
        <w:tblW w:w="9397"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1856"/>
        <w:gridCol w:w="3157"/>
        <w:gridCol w:w="2618"/>
        <w:gridCol w:w="1766"/>
      </w:tblGrid>
      <w:tr w:rsidR="008E608A" w14:paraId="64BDD2C0"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6B33D0A7" w14:textId="77777777" w:rsidR="008E608A" w:rsidRDefault="008E608A" w:rsidP="001E07B7">
            <w:pPr>
              <w:spacing w:after="80" w:line="276" w:lineRule="auto"/>
              <w:jc w:val="both"/>
              <w:rPr>
                <w:rFonts w:ascii="Tahoma" w:hAnsi="Tahoma" w:cs="Tahoma"/>
                <w:b/>
                <w:bCs/>
                <w:color w:val="FFFFFF"/>
                <w:sz w:val="18"/>
                <w:szCs w:val="18"/>
              </w:rPr>
            </w:pPr>
            <w:r>
              <w:rPr>
                <w:rFonts w:ascii="Tahoma" w:hAnsi="Tahoma" w:cs="Tahoma"/>
                <w:b/>
                <w:bCs/>
                <w:color w:val="FFFFFF"/>
                <w:sz w:val="18"/>
                <w:szCs w:val="18"/>
              </w:rPr>
              <w:t>Pays partenaire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DD876BA" w14:textId="77777777" w:rsidR="008E608A" w:rsidRDefault="008E608A" w:rsidP="001E07B7">
            <w:pPr>
              <w:spacing w:after="80" w:line="276" w:lineRule="auto"/>
              <w:jc w:val="both"/>
              <w:rPr>
                <w:rFonts w:ascii="Tahoma" w:hAnsi="Tahoma" w:cs="Tahoma"/>
                <w:b/>
                <w:bCs/>
                <w:color w:val="FFFFFF"/>
                <w:sz w:val="18"/>
                <w:szCs w:val="18"/>
              </w:rPr>
            </w:pPr>
            <w:r>
              <w:rPr>
                <w:rFonts w:ascii="Tahoma" w:hAnsi="Tahoma" w:cs="Tahoma"/>
                <w:b/>
                <w:bCs/>
                <w:color w:val="FFFFFF"/>
                <w:sz w:val="18"/>
                <w:szCs w:val="18"/>
              </w:rPr>
              <w:t xml:space="preserve">Import. </w:t>
            </w:r>
            <w:proofErr w:type="spellStart"/>
            <w:r>
              <w:rPr>
                <w:rFonts w:ascii="Tahoma" w:hAnsi="Tahoma" w:cs="Tahoma"/>
                <w:b/>
                <w:bCs/>
                <w:color w:val="FFFFFF"/>
                <w:sz w:val="18"/>
                <w:szCs w:val="18"/>
              </w:rPr>
              <w:t>Comtrade</w:t>
            </w:r>
            <w:proofErr w:type="spellEnd"/>
            <w:r>
              <w:rPr>
                <w:rFonts w:ascii="Tahoma" w:hAnsi="Tahoma" w:cs="Tahoma"/>
                <w:b/>
                <w:bCs/>
                <w:color w:val="FFFFFF"/>
                <w:sz w:val="18"/>
                <w:szCs w:val="18"/>
              </w:rPr>
              <w:t xml:space="preserve"> cumulées (t)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44F9251" w14:textId="77777777" w:rsidR="008E608A" w:rsidRDefault="008E608A" w:rsidP="001E07B7">
            <w:pPr>
              <w:spacing w:after="80" w:line="276" w:lineRule="auto"/>
              <w:jc w:val="both"/>
              <w:rPr>
                <w:rFonts w:ascii="Tahoma" w:hAnsi="Tahoma" w:cs="Tahoma"/>
                <w:b/>
                <w:bCs/>
                <w:color w:val="FFFFFF"/>
                <w:sz w:val="18"/>
                <w:szCs w:val="18"/>
              </w:rPr>
            </w:pPr>
            <w:r>
              <w:rPr>
                <w:rFonts w:ascii="Tahoma" w:hAnsi="Tahoma" w:cs="Tahoma"/>
                <w:b/>
                <w:bCs/>
                <w:color w:val="FFFFFF"/>
                <w:sz w:val="18"/>
                <w:szCs w:val="18"/>
              </w:rPr>
              <w:t>Export. ITIE cumulées (t)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6BACF19C" w14:textId="77777777" w:rsidR="008E608A" w:rsidRDefault="008E608A" w:rsidP="001E07B7">
            <w:pPr>
              <w:spacing w:after="80" w:line="276" w:lineRule="auto"/>
              <w:jc w:val="both"/>
              <w:rPr>
                <w:rFonts w:ascii="Tahoma" w:hAnsi="Tahoma" w:cs="Tahoma"/>
                <w:b/>
                <w:bCs/>
                <w:color w:val="FFFFFF"/>
                <w:sz w:val="18"/>
                <w:szCs w:val="18"/>
              </w:rPr>
            </w:pPr>
            <w:r>
              <w:rPr>
                <w:rFonts w:ascii="Tahoma" w:hAnsi="Tahoma" w:cs="Tahoma"/>
                <w:b/>
                <w:bCs/>
                <w:color w:val="FFFFFF"/>
                <w:sz w:val="18"/>
                <w:szCs w:val="18"/>
              </w:rPr>
              <w:t>Écart cumulé (t)</w:t>
            </w:r>
          </w:p>
        </w:tc>
      </w:tr>
      <w:tr w:rsidR="008E608A" w14:paraId="5027E89E"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14AEAF0"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Suisse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223D534"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53,355</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3B6E178"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43,786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9F46734"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+9,569</w:t>
            </w:r>
          </w:p>
        </w:tc>
      </w:tr>
      <w:tr w:rsidR="008E608A" w14:paraId="09956BF8"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613CE1E"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Australie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0D70AC5"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18,018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4C51869"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19,362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8463CC1"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−1,344</w:t>
            </w:r>
          </w:p>
        </w:tc>
      </w:tr>
      <w:tr w:rsidR="008E608A" w14:paraId="5954C254"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45BB0E1"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Émirats arabes unis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C9D92E4"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11,976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418DE91"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91F1AD3"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+11,976</w:t>
            </w:r>
          </w:p>
        </w:tc>
      </w:tr>
      <w:tr w:rsidR="008E608A" w14:paraId="36B57DCD"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3AFFAC4"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Italie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133FA69"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0,176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21A5361"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6FD83C9"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+0,176</w:t>
            </w:r>
          </w:p>
        </w:tc>
      </w:tr>
      <w:tr w:rsidR="008E608A" w14:paraId="545AB739"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BA7FBC2"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Turquie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6723CF6"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0,086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7996A09"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3858562"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+0,086</w:t>
            </w:r>
          </w:p>
        </w:tc>
      </w:tr>
      <w:tr w:rsidR="008E608A" w14:paraId="6BF25597"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733EF82"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Mali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E7813FC"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FA38882"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FB8B485"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+0,007</w:t>
            </w:r>
          </w:p>
        </w:tc>
      </w:tr>
      <w:tr w:rsidR="008E608A" w14:paraId="385F0D80"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ACA64B0"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Chine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1857DE4"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0,010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93B7863"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986184D"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+0,010</w:t>
            </w:r>
          </w:p>
        </w:tc>
      </w:tr>
      <w:tr w:rsidR="008E608A" w14:paraId="18E98971"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195C4F0"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lastRenderedPageBreak/>
              <w:t>Thaïlande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9B0F212"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4436FEE"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A2A0408"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+0,020</w:t>
            </w:r>
          </w:p>
        </w:tc>
      </w:tr>
      <w:tr w:rsidR="008E608A" w14:paraId="373CBAFA"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24A620E"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Espagne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AA0A129"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0,001</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F534EDA"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A04DA6F"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+0,001</w:t>
            </w:r>
          </w:p>
        </w:tc>
      </w:tr>
      <w:tr w:rsidR="008E608A" w14:paraId="774D9AC2" w14:textId="77777777" w:rsidTr="001E07B7">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FDDDCD1"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D6D0927"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93,649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B050519"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68,228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AA14129" w14:textId="77777777" w:rsidR="008E608A" w:rsidRDefault="008E608A" w:rsidP="001E07B7">
            <w:pPr>
              <w:spacing w:after="80" w:line="276" w:lineRule="auto"/>
              <w:jc w:val="both"/>
              <w:rPr>
                <w:rFonts w:ascii="Tahoma" w:hAnsi="Tahoma" w:cs="Tahoma"/>
                <w:color w:val="000000"/>
                <w:sz w:val="18"/>
                <w:szCs w:val="18"/>
              </w:rPr>
            </w:pPr>
            <w:r>
              <w:rPr>
                <w:rFonts w:ascii="Tahoma" w:hAnsi="Tahoma" w:cs="Tahoma"/>
                <w:color w:val="000000"/>
                <w:sz w:val="18"/>
                <w:szCs w:val="18"/>
              </w:rPr>
              <w:t>+25,421</w:t>
            </w:r>
          </w:p>
        </w:tc>
      </w:tr>
    </w:tbl>
    <w:p w14:paraId="7736EEA6" w14:textId="77777777" w:rsidR="008E608A" w:rsidRDefault="008E608A" w:rsidP="008E608A">
      <w:pPr>
        <w:spacing w:before="40" w:after="80" w:line="276" w:lineRule="auto"/>
        <w:jc w:val="both"/>
        <w:rPr>
          <w:rFonts w:ascii="Tahoma" w:hAnsi="Tahoma" w:cs="Tahoma"/>
          <w:i/>
          <w:iCs/>
          <w:color w:val="595959"/>
          <w:sz w:val="16"/>
          <w:szCs w:val="16"/>
        </w:rPr>
      </w:pPr>
      <w:r>
        <w:rPr>
          <w:rFonts w:ascii="Tahoma" w:hAnsi="Tahoma" w:cs="Tahoma"/>
          <w:i/>
          <w:iCs/>
          <w:color w:val="595959"/>
          <w:sz w:val="16"/>
          <w:szCs w:val="16"/>
        </w:rPr>
        <w:t xml:space="preserve">Sources : UN </w:t>
      </w:r>
      <w:proofErr w:type="spellStart"/>
      <w:r>
        <w:rPr>
          <w:rFonts w:ascii="Tahoma" w:hAnsi="Tahoma" w:cs="Tahoma"/>
          <w:i/>
          <w:iCs/>
          <w:color w:val="595959"/>
          <w:sz w:val="16"/>
          <w:szCs w:val="16"/>
        </w:rPr>
        <w:t>Comtrade</w:t>
      </w:r>
      <w:proofErr w:type="spellEnd"/>
      <w:r>
        <w:rPr>
          <w:rFonts w:ascii="Tahoma" w:hAnsi="Tahoma" w:cs="Tahoma"/>
          <w:i/>
          <w:iCs/>
          <w:color w:val="595959"/>
          <w:sz w:val="16"/>
          <w:szCs w:val="16"/>
        </w:rPr>
        <w:t xml:space="preserve"> (importations) ; Rapports ITIE Sénégal (exportations). Calculs CN-ITIE.</w:t>
      </w:r>
    </w:p>
    <w:p w14:paraId="116E3EFC" w14:textId="77777777" w:rsidR="008E608A" w:rsidRDefault="008E608A" w:rsidP="008E608A">
      <w:pPr>
        <w:spacing w:after="80" w:line="276" w:lineRule="auto"/>
        <w:jc w:val="both"/>
        <w:rPr>
          <w:rFonts w:ascii="Tahoma" w:hAnsi="Tahoma" w:cs="Tahoma"/>
        </w:rPr>
      </w:pPr>
      <w:r w:rsidRPr="002E27D0">
        <w:rPr>
          <w:rFonts w:ascii="Tahoma" w:hAnsi="Tahoma" w:cs="Tahoma"/>
        </w:rPr>
        <w:t>Une part importante de l’or exporté depuis le Sénégal, notamment celui issu de l’EMAPE, transite d’abord vers des centres internationaux de raffinage tels que la Suisse ou l’Australie.</w:t>
      </w:r>
    </w:p>
    <w:p w14:paraId="4D72F395" w14:textId="77777777" w:rsidR="008E608A" w:rsidRDefault="008E608A" w:rsidP="008E608A">
      <w:pPr>
        <w:spacing w:after="80" w:line="276" w:lineRule="auto"/>
        <w:jc w:val="both"/>
        <w:rPr>
          <w:rFonts w:ascii="Tahoma" w:hAnsi="Tahoma" w:cs="Tahoma"/>
        </w:rPr>
      </w:pPr>
      <w:r w:rsidRPr="002E27D0">
        <w:rPr>
          <w:rFonts w:ascii="Tahoma" w:hAnsi="Tahoma" w:cs="Tahoma"/>
        </w:rPr>
        <w:t>Dans les déclarations ITIE, les exportations sont enregistrées selon le pays de raffinage ou de première destination commerciale officiellement déclarée</w:t>
      </w:r>
      <w:r>
        <w:rPr>
          <w:rFonts w:ascii="Tahoma" w:hAnsi="Tahoma" w:cs="Tahoma"/>
        </w:rPr>
        <w:t xml:space="preserve"> (Suisse et Australie)</w:t>
      </w:r>
      <w:r w:rsidRPr="002E27D0">
        <w:rPr>
          <w:rFonts w:ascii="Tahoma" w:hAnsi="Tahoma" w:cs="Tahoma"/>
        </w:rPr>
        <w:t>, et non selon la destination finale de l’or après raffinage ou réexportation.</w:t>
      </w:r>
    </w:p>
    <w:p w14:paraId="4DF77125" w14:textId="77777777" w:rsidR="008E608A" w:rsidRDefault="008E608A" w:rsidP="008E608A">
      <w:pPr>
        <w:spacing w:after="80" w:line="276" w:lineRule="auto"/>
        <w:jc w:val="both"/>
        <w:rPr>
          <w:rFonts w:ascii="Tahoma" w:hAnsi="Tahoma" w:cs="Tahoma"/>
        </w:rPr>
      </w:pPr>
      <w:r w:rsidRPr="000F04EC">
        <w:rPr>
          <w:rFonts w:ascii="Tahoma" w:hAnsi="Tahoma" w:cs="Tahoma"/>
        </w:rPr>
        <w:t xml:space="preserve">L’analyse comparative entre les importations déclarées par les pays partenaires dans la base </w:t>
      </w:r>
      <w:proofErr w:type="spellStart"/>
      <w:r w:rsidRPr="000F04EC">
        <w:rPr>
          <w:rFonts w:ascii="Tahoma" w:hAnsi="Tahoma" w:cs="Tahoma"/>
        </w:rPr>
        <w:t>Comtrade</w:t>
      </w:r>
      <w:proofErr w:type="spellEnd"/>
      <w:r w:rsidRPr="000F04EC">
        <w:rPr>
          <w:rFonts w:ascii="Tahoma" w:hAnsi="Tahoma" w:cs="Tahoma"/>
        </w:rPr>
        <w:t xml:space="preserve"> et les exportations déclarées dans les rapports ITIE </w:t>
      </w:r>
      <w:r>
        <w:rPr>
          <w:rFonts w:ascii="Tahoma" w:hAnsi="Tahoma" w:cs="Tahoma"/>
        </w:rPr>
        <w:t>montre</w:t>
      </w:r>
      <w:r w:rsidRPr="000F04EC">
        <w:rPr>
          <w:rFonts w:ascii="Tahoma" w:hAnsi="Tahoma" w:cs="Tahoma"/>
        </w:rPr>
        <w:t xml:space="preserve"> un écart cumulé significatif de 25,421 tonnes d’or sur la période considérée, soit environ 27 % des volumes importés par les partenaires commerciaux.</w:t>
      </w:r>
    </w:p>
    <w:p w14:paraId="28BC865D" w14:textId="77777777" w:rsidR="008E608A" w:rsidRPr="000F04EC" w:rsidRDefault="008E608A" w:rsidP="008E608A">
      <w:pPr>
        <w:spacing w:after="80" w:line="276" w:lineRule="auto"/>
        <w:jc w:val="both"/>
        <w:rPr>
          <w:rFonts w:ascii="Tahoma" w:hAnsi="Tahoma" w:cs="Tahoma"/>
        </w:rPr>
      </w:pPr>
      <w:r w:rsidRPr="000F04EC">
        <w:rPr>
          <w:rFonts w:ascii="Tahoma" w:hAnsi="Tahoma" w:cs="Tahoma"/>
        </w:rPr>
        <w:t>Cette divergence révèle des insuffisances structurelles dans la captation statistique et le suivi des flux aurifères sortant du Sénégal, particulièrement pour les flux liés à l’exploitation minière artisanale et à petite échelle (EMAPE).</w:t>
      </w:r>
    </w:p>
    <w:p w14:paraId="637B632B" w14:textId="77777777" w:rsidR="008E608A" w:rsidRPr="000F04EC" w:rsidRDefault="008E608A" w:rsidP="008E608A">
      <w:pPr>
        <w:spacing w:after="80" w:line="276" w:lineRule="auto"/>
        <w:jc w:val="both"/>
        <w:rPr>
          <w:rFonts w:ascii="Tahoma" w:hAnsi="Tahoma" w:cs="Tahoma"/>
        </w:rPr>
      </w:pPr>
      <w:r w:rsidRPr="000F04EC">
        <w:rPr>
          <w:rFonts w:ascii="Tahoma" w:hAnsi="Tahoma" w:cs="Tahoma"/>
        </w:rPr>
        <w:t>Le corridor suisse concentre à lui seul un écart cumulé de 9,569 tonnes. Cette différence demeure particulièrement significative compte tenu du rôle de Suisse comme principal hub mondial de raffinage de l’or. Une partie importante de cet écart peut être attribuée à des flux d’or issus de l’EMAPE exportés en dehors des circuits formels de déclaration douanière ou transitant par des réseaux de collecte informels.</w:t>
      </w:r>
    </w:p>
    <w:p w14:paraId="0F984A1B" w14:textId="77777777" w:rsidR="008E608A" w:rsidRPr="000F04EC" w:rsidRDefault="008E608A" w:rsidP="008E608A">
      <w:pPr>
        <w:spacing w:after="80" w:line="276" w:lineRule="auto"/>
        <w:jc w:val="both"/>
        <w:rPr>
          <w:rFonts w:ascii="Tahoma" w:hAnsi="Tahoma" w:cs="Tahoma"/>
        </w:rPr>
      </w:pPr>
      <w:r w:rsidRPr="000F04EC">
        <w:rPr>
          <w:rFonts w:ascii="Tahoma" w:hAnsi="Tahoma" w:cs="Tahoma"/>
        </w:rPr>
        <w:t xml:space="preserve">L’or recyclé </w:t>
      </w:r>
      <w:r>
        <w:rPr>
          <w:rFonts w:ascii="Tahoma" w:hAnsi="Tahoma" w:cs="Tahoma"/>
        </w:rPr>
        <w:t xml:space="preserve">peut aussi </w:t>
      </w:r>
      <w:r w:rsidRPr="000F04EC">
        <w:rPr>
          <w:rFonts w:ascii="Tahoma" w:hAnsi="Tahoma" w:cs="Tahoma"/>
        </w:rPr>
        <w:t>constitue</w:t>
      </w:r>
      <w:r>
        <w:rPr>
          <w:rFonts w:ascii="Tahoma" w:hAnsi="Tahoma" w:cs="Tahoma"/>
        </w:rPr>
        <w:t>r</w:t>
      </w:r>
      <w:r w:rsidRPr="000F04EC">
        <w:rPr>
          <w:rFonts w:ascii="Tahoma" w:hAnsi="Tahoma" w:cs="Tahoma"/>
        </w:rPr>
        <w:t xml:space="preserve"> un facteur explicatif complémentaire non négligeable. Une partie des importations enregistrées par certains partenaires pourrait correspondre à de l’or secondaire issu du recyclage de bijoux</w:t>
      </w:r>
      <w:r>
        <w:rPr>
          <w:rFonts w:ascii="Tahoma" w:hAnsi="Tahoma" w:cs="Tahoma"/>
        </w:rPr>
        <w:t xml:space="preserve"> </w:t>
      </w:r>
      <w:r w:rsidRPr="000F04EC">
        <w:rPr>
          <w:rFonts w:ascii="Tahoma" w:hAnsi="Tahoma" w:cs="Tahoma"/>
        </w:rPr>
        <w:t>difficilement distinguable statistiquement de l’or primaire extrait des mines artisanales.</w:t>
      </w:r>
    </w:p>
    <w:p w14:paraId="605FAD59" w14:textId="77777777" w:rsidR="008E608A" w:rsidRPr="000F04EC" w:rsidRDefault="008E608A" w:rsidP="008E608A">
      <w:pPr>
        <w:spacing w:after="80" w:line="276" w:lineRule="auto"/>
        <w:jc w:val="both"/>
        <w:rPr>
          <w:rFonts w:ascii="Tahoma" w:hAnsi="Tahoma" w:cs="Tahoma"/>
        </w:rPr>
      </w:pPr>
      <w:r>
        <w:rPr>
          <w:rFonts w:ascii="Tahoma" w:hAnsi="Tahoma" w:cs="Tahoma"/>
        </w:rPr>
        <w:t>L</w:t>
      </w:r>
      <w:r w:rsidRPr="000F04EC">
        <w:rPr>
          <w:rFonts w:ascii="Tahoma" w:hAnsi="Tahoma" w:cs="Tahoma"/>
        </w:rPr>
        <w:t xml:space="preserve">e corridor avec Australie présente un écart négatif de </w:t>
      </w:r>
      <w:r>
        <w:rPr>
          <w:rFonts w:ascii="Tahoma" w:hAnsi="Tahoma" w:cs="Tahoma"/>
        </w:rPr>
        <w:t>-</w:t>
      </w:r>
      <w:r w:rsidRPr="000F04EC">
        <w:rPr>
          <w:rFonts w:ascii="Tahoma" w:hAnsi="Tahoma" w:cs="Tahoma"/>
        </w:rPr>
        <w:t xml:space="preserve">1,344 tonne, les exportations ITIE étant supérieures aux importations déclarées par le partenaire. </w:t>
      </w:r>
    </w:p>
    <w:p w14:paraId="518A0A5F" w14:textId="77777777" w:rsidR="008E608A" w:rsidRPr="00A815B9" w:rsidRDefault="008E608A" w:rsidP="008E608A">
      <w:pPr>
        <w:pStyle w:val="Titre2"/>
        <w:spacing w:after="80" w:line="276" w:lineRule="auto"/>
        <w:jc w:val="both"/>
        <w:rPr>
          <w:rFonts w:ascii="Tahoma" w:hAnsi="Tahoma" w:cs="Tahoma"/>
        </w:rPr>
      </w:pPr>
      <w:bookmarkStart w:id="27" w:name="_Toc230168249"/>
      <w:r w:rsidRPr="00A815B9">
        <w:rPr>
          <w:rFonts w:ascii="Tahoma" w:hAnsi="Tahoma" w:cs="Tahoma"/>
        </w:rPr>
        <w:t>7.</w:t>
      </w:r>
      <w:r>
        <w:rPr>
          <w:rFonts w:ascii="Tahoma" w:hAnsi="Tahoma" w:cs="Tahoma"/>
        </w:rPr>
        <w:t>3</w:t>
      </w:r>
      <w:r w:rsidRPr="00A815B9">
        <w:rPr>
          <w:rFonts w:ascii="Tahoma" w:hAnsi="Tahoma" w:cs="Tahoma"/>
        </w:rPr>
        <w:t xml:space="preserve"> Quantification des pertes fiscales et de production non capturée</w:t>
      </w:r>
      <w:bookmarkEnd w:id="27"/>
    </w:p>
    <w:p w14:paraId="37BCAC96" w14:textId="77777777" w:rsidR="008E608A" w:rsidRPr="00A815B9" w:rsidRDefault="008E608A" w:rsidP="008E608A">
      <w:pPr>
        <w:spacing w:after="80" w:line="276" w:lineRule="auto"/>
        <w:jc w:val="both"/>
        <w:rPr>
          <w:rFonts w:ascii="Tahoma" w:hAnsi="Tahoma" w:cs="Tahoma"/>
        </w:rPr>
      </w:pPr>
      <w:r w:rsidRPr="00C51186">
        <w:rPr>
          <w:rFonts w:ascii="Tahoma" w:hAnsi="Tahoma" w:cs="Tahoma"/>
          <w:color w:val="000000"/>
        </w:rPr>
        <w:t>En appliquant un prix moyen de l’or de 40 000 FCFA par gramme sur la période 2020</w:t>
      </w:r>
      <w:r>
        <w:rPr>
          <w:rFonts w:ascii="Tahoma" w:hAnsi="Tahoma" w:cs="Tahoma"/>
          <w:color w:val="000000"/>
        </w:rPr>
        <w:t xml:space="preserve"> - </w:t>
      </w:r>
      <w:r w:rsidRPr="00C51186">
        <w:rPr>
          <w:rFonts w:ascii="Tahoma" w:hAnsi="Tahoma" w:cs="Tahoma"/>
          <w:color w:val="000000"/>
        </w:rPr>
        <w:t>2024 et un taux de redevance minière de 5 % conformément à l’article 77 du Code minier de 2016, les pertes potentielles de recettes publiques peuvent être estimées comme suit :</w:t>
      </w:r>
    </w:p>
    <w:p w14:paraId="5C35DAAB" w14:textId="77777777" w:rsidR="008E608A" w:rsidRPr="00A815B9" w:rsidRDefault="008E608A" w:rsidP="008E608A">
      <w:pPr>
        <w:spacing w:after="80" w:line="276" w:lineRule="auto"/>
        <w:jc w:val="both"/>
        <w:rPr>
          <w:rFonts w:ascii="Tahoma" w:hAnsi="Tahoma" w:cs="Tahoma"/>
        </w:rPr>
      </w:pPr>
      <w:r>
        <w:rPr>
          <w:rFonts w:ascii="Tahoma" w:hAnsi="Tahoma" w:cs="Tahoma"/>
        </w:rPr>
        <w:t xml:space="preserve">Tableau : Manque à gagner </w:t>
      </w:r>
      <w:proofErr w:type="gramStart"/>
      <w:r>
        <w:rPr>
          <w:rFonts w:ascii="Tahoma" w:hAnsi="Tahoma" w:cs="Tahoma"/>
        </w:rPr>
        <w:t>estimé</w:t>
      </w:r>
      <w:proofErr w:type="gramEnd"/>
      <w:r>
        <w:rPr>
          <w:rFonts w:ascii="Tahoma" w:hAnsi="Tahoma" w:cs="Tahoma"/>
        </w:rPr>
        <w:t xml:space="preserve"> 2020 - 2024</w:t>
      </w:r>
    </w:p>
    <w:tbl>
      <w:tblPr>
        <w:tblW w:w="9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1984"/>
        <w:gridCol w:w="2410"/>
        <w:gridCol w:w="3492"/>
      </w:tblGrid>
      <w:tr w:rsidR="008E608A" w:rsidRPr="00A815B9" w14:paraId="62CEC532" w14:textId="77777777" w:rsidTr="001E07B7">
        <w:tblPrEx>
          <w:tblCellMar>
            <w:top w:w="0" w:type="dxa"/>
            <w:bottom w:w="0" w:type="dxa"/>
          </w:tblCellMar>
        </w:tblPrEx>
        <w:trPr>
          <w:trHeight w:val="689"/>
          <w:tblHeader/>
        </w:trPr>
        <w:tc>
          <w:tcPr>
            <w:tcW w:w="1417"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912CCB5"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Année</w:t>
            </w:r>
          </w:p>
        </w:tc>
        <w:tc>
          <w:tcPr>
            <w:tcW w:w="1984"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143F587"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Écart (t</w:t>
            </w:r>
            <w:r>
              <w:rPr>
                <w:rFonts w:ascii="Tahoma" w:hAnsi="Tahoma" w:cs="Tahoma"/>
                <w:b/>
                <w:bCs/>
                <w:color w:val="FFFFFF"/>
                <w:sz w:val="19"/>
                <w:szCs w:val="19"/>
              </w:rPr>
              <w:t>onnes</w:t>
            </w:r>
            <w:r w:rsidRPr="00A815B9">
              <w:rPr>
                <w:rFonts w:ascii="Tahoma" w:hAnsi="Tahoma" w:cs="Tahoma"/>
                <w:b/>
                <w:bCs/>
                <w:color w:val="FFFFFF"/>
                <w:sz w:val="19"/>
                <w:szCs w:val="19"/>
              </w:rPr>
              <w:t>)</w:t>
            </w:r>
          </w:p>
        </w:tc>
        <w:tc>
          <w:tcPr>
            <w:tcW w:w="2410"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72EF13E" w14:textId="77777777" w:rsidR="008E608A" w:rsidRDefault="008E608A" w:rsidP="001E07B7">
            <w:pPr>
              <w:spacing w:after="80" w:line="276" w:lineRule="auto"/>
              <w:jc w:val="both"/>
              <w:rPr>
                <w:rFonts w:ascii="Tahoma" w:hAnsi="Tahoma" w:cs="Tahoma"/>
                <w:b/>
                <w:bCs/>
                <w:color w:val="FFFFFF"/>
                <w:sz w:val="19"/>
                <w:szCs w:val="19"/>
              </w:rPr>
            </w:pPr>
            <w:r w:rsidRPr="00A815B9">
              <w:rPr>
                <w:rFonts w:ascii="Tahoma" w:hAnsi="Tahoma" w:cs="Tahoma"/>
                <w:b/>
                <w:bCs/>
                <w:color w:val="FFFFFF"/>
                <w:sz w:val="19"/>
                <w:szCs w:val="19"/>
              </w:rPr>
              <w:t>Valeur estimée écart</w:t>
            </w:r>
          </w:p>
          <w:p w14:paraId="4EE9B004"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(M</w:t>
            </w:r>
            <w:r>
              <w:rPr>
                <w:rFonts w:ascii="Tahoma" w:hAnsi="Tahoma" w:cs="Tahoma"/>
                <w:b/>
                <w:bCs/>
                <w:color w:val="FFFFFF"/>
                <w:sz w:val="19"/>
                <w:szCs w:val="19"/>
              </w:rPr>
              <w:t>illiards</w:t>
            </w:r>
            <w:r w:rsidRPr="00A815B9">
              <w:rPr>
                <w:rFonts w:ascii="Tahoma" w:hAnsi="Tahoma" w:cs="Tahoma"/>
                <w:b/>
                <w:bCs/>
                <w:color w:val="FFFFFF"/>
                <w:sz w:val="19"/>
                <w:szCs w:val="19"/>
              </w:rPr>
              <w:t xml:space="preserve"> </w:t>
            </w:r>
            <w:r>
              <w:rPr>
                <w:rFonts w:ascii="Tahoma" w:hAnsi="Tahoma" w:cs="Tahoma"/>
                <w:b/>
                <w:bCs/>
                <w:color w:val="FFFFFF"/>
                <w:sz w:val="19"/>
                <w:szCs w:val="19"/>
              </w:rPr>
              <w:t>FCFA</w:t>
            </w:r>
            <w:r w:rsidRPr="00A815B9">
              <w:rPr>
                <w:rFonts w:ascii="Tahoma" w:hAnsi="Tahoma" w:cs="Tahoma"/>
                <w:b/>
                <w:bCs/>
                <w:color w:val="FFFFFF"/>
                <w:sz w:val="19"/>
                <w:szCs w:val="19"/>
              </w:rPr>
              <w:t>)</w:t>
            </w:r>
          </w:p>
        </w:tc>
        <w:tc>
          <w:tcPr>
            <w:tcW w:w="349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6125C49" w14:textId="77777777" w:rsidR="008E608A" w:rsidRDefault="008E608A" w:rsidP="001E07B7">
            <w:pPr>
              <w:spacing w:after="80" w:line="276" w:lineRule="auto"/>
              <w:jc w:val="both"/>
              <w:rPr>
                <w:rFonts w:ascii="Tahoma" w:hAnsi="Tahoma" w:cs="Tahoma"/>
                <w:b/>
                <w:bCs/>
                <w:color w:val="FFFFFF"/>
                <w:sz w:val="19"/>
                <w:szCs w:val="19"/>
              </w:rPr>
            </w:pPr>
            <w:r>
              <w:rPr>
                <w:rFonts w:ascii="Tahoma" w:hAnsi="Tahoma" w:cs="Tahoma"/>
                <w:b/>
                <w:bCs/>
                <w:color w:val="FFFFFF"/>
                <w:sz w:val="19"/>
                <w:szCs w:val="19"/>
              </w:rPr>
              <w:t>Manque à gagner</w:t>
            </w:r>
            <w:r w:rsidRPr="00A815B9">
              <w:rPr>
                <w:rFonts w:ascii="Tahoma" w:hAnsi="Tahoma" w:cs="Tahoma"/>
                <w:b/>
                <w:bCs/>
                <w:color w:val="FFFFFF"/>
                <w:sz w:val="19"/>
                <w:szCs w:val="19"/>
              </w:rPr>
              <w:t xml:space="preserve"> </w:t>
            </w:r>
            <w:proofErr w:type="gramStart"/>
            <w:r w:rsidRPr="00A815B9">
              <w:rPr>
                <w:rFonts w:ascii="Tahoma" w:hAnsi="Tahoma" w:cs="Tahoma"/>
                <w:b/>
                <w:bCs/>
                <w:color w:val="FFFFFF"/>
                <w:sz w:val="19"/>
                <w:szCs w:val="19"/>
              </w:rPr>
              <w:t>estimé</w:t>
            </w:r>
            <w:proofErr w:type="gramEnd"/>
          </w:p>
          <w:p w14:paraId="396B41F9"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w:t>
            </w:r>
            <w:r w:rsidRPr="00E9611A">
              <w:rPr>
                <w:rFonts w:ascii="Tahoma" w:hAnsi="Tahoma" w:cs="Tahoma"/>
                <w:b/>
                <w:bCs/>
                <w:color w:val="FFFFFF"/>
                <w:sz w:val="19"/>
                <w:szCs w:val="19"/>
              </w:rPr>
              <w:t>Milliards FCFA</w:t>
            </w:r>
            <w:r w:rsidRPr="00A815B9">
              <w:rPr>
                <w:rFonts w:ascii="Tahoma" w:hAnsi="Tahoma" w:cs="Tahoma"/>
                <w:b/>
                <w:bCs/>
                <w:color w:val="FFFFFF"/>
                <w:sz w:val="19"/>
                <w:szCs w:val="19"/>
              </w:rPr>
              <w:t xml:space="preserve">, </w:t>
            </w:r>
            <w:r>
              <w:rPr>
                <w:rFonts w:ascii="Tahoma" w:hAnsi="Tahoma" w:cs="Tahoma"/>
                <w:b/>
                <w:bCs/>
                <w:color w:val="FFFFFF"/>
                <w:sz w:val="19"/>
                <w:szCs w:val="19"/>
              </w:rPr>
              <w:t>5</w:t>
            </w:r>
            <w:r w:rsidRPr="00A815B9">
              <w:rPr>
                <w:rFonts w:ascii="Tahoma" w:hAnsi="Tahoma" w:cs="Tahoma"/>
                <w:b/>
                <w:bCs/>
                <w:color w:val="FFFFFF"/>
                <w:sz w:val="19"/>
                <w:szCs w:val="19"/>
              </w:rPr>
              <w:t>%)</w:t>
            </w:r>
          </w:p>
        </w:tc>
      </w:tr>
      <w:tr w:rsidR="008E608A" w:rsidRPr="00A815B9" w14:paraId="079EF4FD" w14:textId="77777777" w:rsidTr="001E07B7">
        <w:tblPrEx>
          <w:tblCellMar>
            <w:top w:w="0" w:type="dxa"/>
            <w:bottom w:w="0" w:type="dxa"/>
          </w:tblCellMar>
        </w:tblPrEx>
        <w:trPr>
          <w:trHeight w:val="238"/>
        </w:trPr>
        <w:tc>
          <w:tcPr>
            <w:tcW w:w="141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17003E7"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2020</w:t>
            </w:r>
          </w:p>
        </w:tc>
        <w:tc>
          <w:tcPr>
            <w:tcW w:w="1984"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1528E9C" w14:textId="77777777" w:rsidR="008E608A" w:rsidRPr="00A815B9" w:rsidRDefault="008E608A" w:rsidP="001E07B7">
            <w:pPr>
              <w:spacing w:after="80" w:line="276" w:lineRule="auto"/>
              <w:jc w:val="center"/>
              <w:rPr>
                <w:rFonts w:ascii="Tahoma" w:hAnsi="Tahoma" w:cs="Tahoma"/>
              </w:rPr>
            </w:pPr>
            <w:r w:rsidRPr="00A815B9">
              <w:rPr>
                <w:rFonts w:ascii="Tahoma" w:hAnsi="Tahoma" w:cs="Tahoma"/>
                <w:color w:val="000000"/>
                <w:sz w:val="20"/>
                <w:szCs w:val="20"/>
              </w:rPr>
              <w:t>12,543</w:t>
            </w:r>
          </w:p>
        </w:tc>
        <w:tc>
          <w:tcPr>
            <w:tcW w:w="241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735BA68"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501,7</w:t>
            </w:r>
          </w:p>
        </w:tc>
        <w:tc>
          <w:tcPr>
            <w:tcW w:w="34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33D0969"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25,1</w:t>
            </w:r>
          </w:p>
        </w:tc>
      </w:tr>
      <w:tr w:rsidR="008E608A" w:rsidRPr="00A815B9" w14:paraId="73F0F35A" w14:textId="77777777" w:rsidTr="001E07B7">
        <w:tblPrEx>
          <w:tblCellMar>
            <w:top w:w="0" w:type="dxa"/>
            <w:bottom w:w="0" w:type="dxa"/>
          </w:tblCellMar>
        </w:tblPrEx>
        <w:trPr>
          <w:trHeight w:val="238"/>
        </w:trPr>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8293A7D"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2021</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0B5D088" w14:textId="77777777" w:rsidR="008E608A" w:rsidRPr="00A815B9" w:rsidRDefault="008E608A" w:rsidP="001E07B7">
            <w:pPr>
              <w:spacing w:after="80" w:line="276" w:lineRule="auto"/>
              <w:jc w:val="center"/>
              <w:rPr>
                <w:rFonts w:ascii="Tahoma" w:hAnsi="Tahoma" w:cs="Tahoma"/>
              </w:rPr>
            </w:pPr>
            <w:r w:rsidRPr="00A815B9">
              <w:rPr>
                <w:rFonts w:ascii="Tahoma" w:hAnsi="Tahoma" w:cs="Tahoma"/>
                <w:color w:val="000000"/>
                <w:sz w:val="20"/>
                <w:szCs w:val="20"/>
              </w:rPr>
              <w:t>4,254</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A0DECD0"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170,2</w:t>
            </w:r>
          </w:p>
        </w:tc>
        <w:tc>
          <w:tcPr>
            <w:tcW w:w="3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342C79F"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8,5</w:t>
            </w:r>
          </w:p>
        </w:tc>
      </w:tr>
      <w:tr w:rsidR="008E608A" w:rsidRPr="00A815B9" w14:paraId="5EFF5203" w14:textId="77777777" w:rsidTr="001E07B7">
        <w:tblPrEx>
          <w:tblCellMar>
            <w:top w:w="0" w:type="dxa"/>
            <w:bottom w:w="0" w:type="dxa"/>
          </w:tblCellMar>
        </w:tblPrEx>
        <w:trPr>
          <w:trHeight w:val="250"/>
        </w:trPr>
        <w:tc>
          <w:tcPr>
            <w:tcW w:w="141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DB4C6AB"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2022</w:t>
            </w:r>
          </w:p>
        </w:tc>
        <w:tc>
          <w:tcPr>
            <w:tcW w:w="1984"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B367B72" w14:textId="77777777" w:rsidR="008E608A" w:rsidRPr="00A815B9" w:rsidRDefault="008E608A" w:rsidP="001E07B7">
            <w:pPr>
              <w:spacing w:after="80" w:line="276" w:lineRule="auto"/>
              <w:jc w:val="center"/>
              <w:rPr>
                <w:rFonts w:ascii="Tahoma" w:hAnsi="Tahoma" w:cs="Tahoma"/>
              </w:rPr>
            </w:pPr>
            <w:r w:rsidRPr="00A815B9">
              <w:rPr>
                <w:rFonts w:ascii="Tahoma" w:hAnsi="Tahoma" w:cs="Tahoma"/>
                <w:color w:val="000000"/>
                <w:sz w:val="20"/>
                <w:szCs w:val="20"/>
              </w:rPr>
              <w:t>2,618</w:t>
            </w:r>
          </w:p>
        </w:tc>
        <w:tc>
          <w:tcPr>
            <w:tcW w:w="241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42A787E"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104,7</w:t>
            </w:r>
          </w:p>
        </w:tc>
        <w:tc>
          <w:tcPr>
            <w:tcW w:w="34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C5D3677"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5,2</w:t>
            </w:r>
          </w:p>
        </w:tc>
      </w:tr>
      <w:tr w:rsidR="008E608A" w:rsidRPr="00A815B9" w14:paraId="6AE8C67E" w14:textId="77777777" w:rsidTr="001E07B7">
        <w:tblPrEx>
          <w:tblCellMar>
            <w:top w:w="0" w:type="dxa"/>
            <w:bottom w:w="0" w:type="dxa"/>
          </w:tblCellMar>
        </w:tblPrEx>
        <w:trPr>
          <w:trHeight w:val="238"/>
        </w:trPr>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3FA34AE"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t>2023</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0C3A6CB" w14:textId="77777777" w:rsidR="008E608A" w:rsidRPr="00A815B9" w:rsidRDefault="008E608A" w:rsidP="001E07B7">
            <w:pPr>
              <w:spacing w:after="80" w:line="276" w:lineRule="auto"/>
              <w:jc w:val="center"/>
              <w:rPr>
                <w:rFonts w:ascii="Tahoma" w:hAnsi="Tahoma" w:cs="Tahoma"/>
              </w:rPr>
            </w:pPr>
            <w:r w:rsidRPr="00A815B9">
              <w:rPr>
                <w:rFonts w:ascii="Tahoma" w:hAnsi="Tahoma" w:cs="Tahoma"/>
                <w:color w:val="000000"/>
                <w:sz w:val="20"/>
                <w:szCs w:val="20"/>
              </w:rPr>
              <w:t>5,488</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CE27A55"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219,5</w:t>
            </w:r>
          </w:p>
        </w:tc>
        <w:tc>
          <w:tcPr>
            <w:tcW w:w="3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77BFEBE"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11,0</w:t>
            </w:r>
          </w:p>
        </w:tc>
      </w:tr>
      <w:tr w:rsidR="008E608A" w:rsidRPr="00A815B9" w14:paraId="5701A9B8" w14:textId="77777777" w:rsidTr="001E07B7">
        <w:tblPrEx>
          <w:tblCellMar>
            <w:top w:w="0" w:type="dxa"/>
            <w:bottom w:w="0" w:type="dxa"/>
          </w:tblCellMar>
        </w:tblPrEx>
        <w:trPr>
          <w:trHeight w:val="238"/>
        </w:trPr>
        <w:tc>
          <w:tcPr>
            <w:tcW w:w="141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F13B932" w14:textId="77777777" w:rsidR="008E608A" w:rsidRPr="00A815B9" w:rsidRDefault="008E608A" w:rsidP="001E07B7">
            <w:pPr>
              <w:spacing w:after="80" w:line="276" w:lineRule="auto"/>
              <w:jc w:val="both"/>
              <w:rPr>
                <w:rFonts w:ascii="Tahoma" w:hAnsi="Tahoma" w:cs="Tahoma"/>
              </w:rPr>
            </w:pPr>
            <w:r w:rsidRPr="00A815B9">
              <w:rPr>
                <w:rFonts w:ascii="Tahoma" w:hAnsi="Tahoma" w:cs="Tahoma"/>
                <w:color w:val="000000"/>
                <w:sz w:val="20"/>
                <w:szCs w:val="20"/>
              </w:rPr>
              <w:lastRenderedPageBreak/>
              <w:t>2024</w:t>
            </w:r>
          </w:p>
        </w:tc>
        <w:tc>
          <w:tcPr>
            <w:tcW w:w="1984"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2B4A2E2" w14:textId="77777777" w:rsidR="008E608A" w:rsidRPr="00A815B9" w:rsidRDefault="008E608A" w:rsidP="001E07B7">
            <w:pPr>
              <w:spacing w:after="80" w:line="276" w:lineRule="auto"/>
              <w:jc w:val="center"/>
              <w:rPr>
                <w:rFonts w:ascii="Tahoma" w:hAnsi="Tahoma" w:cs="Tahoma"/>
              </w:rPr>
            </w:pPr>
            <w:r w:rsidRPr="00A815B9">
              <w:rPr>
                <w:rFonts w:ascii="Tahoma" w:hAnsi="Tahoma" w:cs="Tahoma"/>
                <w:color w:val="000000"/>
                <w:sz w:val="20"/>
                <w:szCs w:val="20"/>
              </w:rPr>
              <w:t>0,518</w:t>
            </w:r>
          </w:p>
        </w:tc>
        <w:tc>
          <w:tcPr>
            <w:tcW w:w="241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6D98B59"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20,7</w:t>
            </w:r>
          </w:p>
        </w:tc>
        <w:tc>
          <w:tcPr>
            <w:tcW w:w="34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2C3A79A"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1,0</w:t>
            </w:r>
          </w:p>
        </w:tc>
      </w:tr>
      <w:tr w:rsidR="008E608A" w:rsidRPr="00A815B9" w14:paraId="688FEB75" w14:textId="77777777" w:rsidTr="001E07B7">
        <w:tblPrEx>
          <w:tblCellMar>
            <w:top w:w="0" w:type="dxa"/>
            <w:bottom w:w="0" w:type="dxa"/>
          </w:tblCellMar>
        </w:tblPrEx>
        <w:trPr>
          <w:trHeight w:val="225"/>
        </w:trPr>
        <w:tc>
          <w:tcPr>
            <w:tcW w:w="14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75D8CB89"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000000"/>
                <w:sz w:val="20"/>
                <w:szCs w:val="20"/>
              </w:rPr>
              <w:t>TOTAL</w:t>
            </w:r>
          </w:p>
        </w:tc>
        <w:tc>
          <w:tcPr>
            <w:tcW w:w="198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190542DA" w14:textId="77777777" w:rsidR="008E608A" w:rsidRPr="00A815B9" w:rsidRDefault="008E608A" w:rsidP="001E07B7">
            <w:pPr>
              <w:spacing w:after="80" w:line="276" w:lineRule="auto"/>
              <w:jc w:val="center"/>
              <w:rPr>
                <w:rFonts w:ascii="Tahoma" w:hAnsi="Tahoma" w:cs="Tahoma"/>
              </w:rPr>
            </w:pPr>
            <w:r w:rsidRPr="00A815B9">
              <w:rPr>
                <w:rFonts w:ascii="Tahoma" w:hAnsi="Tahoma" w:cs="Tahoma"/>
                <w:b/>
                <w:bCs/>
                <w:color w:val="000000"/>
                <w:sz w:val="20"/>
                <w:szCs w:val="20"/>
              </w:rPr>
              <w:t>25,421</w:t>
            </w:r>
          </w:p>
        </w:tc>
        <w:tc>
          <w:tcPr>
            <w:tcW w:w="24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79E2773D"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1 016,8</w:t>
            </w:r>
          </w:p>
        </w:tc>
        <w:tc>
          <w:tcPr>
            <w:tcW w:w="349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00055B65" w14:textId="77777777" w:rsidR="008E608A" w:rsidRPr="00A815B9" w:rsidRDefault="008E608A" w:rsidP="001E07B7">
            <w:pPr>
              <w:spacing w:after="80" w:line="276" w:lineRule="auto"/>
              <w:jc w:val="center"/>
              <w:rPr>
                <w:rFonts w:ascii="Tahoma" w:hAnsi="Tahoma" w:cs="Tahoma"/>
              </w:rPr>
            </w:pPr>
            <w:r>
              <w:rPr>
                <w:rFonts w:ascii="Tahoma" w:hAnsi="Tahoma" w:cs="Tahoma"/>
                <w:color w:val="000000"/>
                <w:sz w:val="20"/>
                <w:szCs w:val="20"/>
              </w:rPr>
              <w:t>50,8</w:t>
            </w:r>
          </w:p>
        </w:tc>
      </w:tr>
    </w:tbl>
    <w:p w14:paraId="7448E96E" w14:textId="77777777" w:rsidR="008E608A" w:rsidRDefault="008E608A" w:rsidP="008E608A">
      <w:pPr>
        <w:spacing w:after="80" w:line="276" w:lineRule="auto"/>
        <w:jc w:val="both"/>
        <w:rPr>
          <w:rFonts w:ascii="Tahoma" w:hAnsi="Tahoma" w:cs="Tahoma"/>
          <w:i/>
          <w:iCs/>
          <w:color w:val="666666"/>
          <w:sz w:val="18"/>
          <w:szCs w:val="18"/>
        </w:rPr>
      </w:pPr>
      <w:r w:rsidRPr="00A815B9">
        <w:rPr>
          <w:rFonts w:ascii="Tahoma" w:hAnsi="Tahoma" w:cs="Tahoma"/>
          <w:i/>
          <w:iCs/>
          <w:color w:val="666666"/>
          <w:sz w:val="18"/>
          <w:szCs w:val="18"/>
        </w:rPr>
        <w:t xml:space="preserve">Note : Estimations basées sur un prix moyen de </w:t>
      </w:r>
      <w:r>
        <w:rPr>
          <w:rFonts w:ascii="Tahoma" w:hAnsi="Tahoma" w:cs="Tahoma"/>
          <w:i/>
          <w:iCs/>
          <w:color w:val="666666"/>
          <w:sz w:val="18"/>
          <w:szCs w:val="18"/>
        </w:rPr>
        <w:t>40 000FCF/g</w:t>
      </w:r>
      <w:r w:rsidRPr="00A815B9">
        <w:rPr>
          <w:rFonts w:ascii="Tahoma" w:hAnsi="Tahoma" w:cs="Tahoma"/>
          <w:i/>
          <w:iCs/>
          <w:color w:val="666666"/>
          <w:sz w:val="18"/>
          <w:szCs w:val="18"/>
        </w:rPr>
        <w:t>.</w:t>
      </w:r>
    </w:p>
    <w:p w14:paraId="2C300751" w14:textId="77777777" w:rsidR="008E608A" w:rsidRPr="00DB38DC" w:rsidRDefault="008E608A" w:rsidP="008E608A">
      <w:pPr>
        <w:spacing w:after="80" w:line="276" w:lineRule="auto"/>
        <w:jc w:val="both"/>
        <w:rPr>
          <w:rFonts w:ascii="Tahoma" w:hAnsi="Tahoma" w:cs="Tahoma"/>
        </w:rPr>
      </w:pPr>
      <w:r w:rsidRPr="00DB38DC">
        <w:rPr>
          <w:rFonts w:ascii="Tahoma" w:hAnsi="Tahoma" w:cs="Tahoma"/>
        </w:rPr>
        <w:t>Ainsi, les flux non capturés sur la période représenteraient une valeur économique supérieure à 1 000 milliards de FCFA et un manque à gagner potentiel d’environ 50,8 milliards de FCFA au titre de la redevance minière.</w:t>
      </w:r>
    </w:p>
    <w:p w14:paraId="499566B2" w14:textId="77777777" w:rsidR="008E608A" w:rsidRPr="00A815B9" w:rsidRDefault="008E608A" w:rsidP="008E608A">
      <w:pPr>
        <w:spacing w:after="80" w:line="276" w:lineRule="auto"/>
        <w:jc w:val="both"/>
        <w:rPr>
          <w:rFonts w:ascii="Tahoma" w:hAnsi="Tahoma" w:cs="Tahoma"/>
        </w:rPr>
      </w:pPr>
      <w:r w:rsidRPr="00DB38DC">
        <w:rPr>
          <w:rFonts w:ascii="Tahoma" w:hAnsi="Tahoma" w:cs="Tahoma"/>
        </w:rPr>
        <w:t>Ces estimations n’intègrent ni les pertes liées à l’impôt sur les sociétés, ni les droits de douane, ni les autres prélèvements applicables aux exportations aurifères.</w:t>
      </w:r>
    </w:p>
    <w:p w14:paraId="0391A451" w14:textId="77777777" w:rsidR="008E608A" w:rsidRPr="00A815B9" w:rsidRDefault="008E608A" w:rsidP="008E608A">
      <w:pPr>
        <w:pStyle w:val="Titre2"/>
        <w:spacing w:after="80" w:line="276" w:lineRule="auto"/>
        <w:jc w:val="both"/>
        <w:rPr>
          <w:rFonts w:ascii="Tahoma" w:hAnsi="Tahoma" w:cs="Tahoma"/>
        </w:rPr>
      </w:pPr>
      <w:bookmarkStart w:id="28" w:name="_Toc230168250"/>
      <w:r w:rsidRPr="00A815B9">
        <w:rPr>
          <w:rFonts w:ascii="Tahoma" w:hAnsi="Tahoma" w:cs="Tahoma"/>
        </w:rPr>
        <w:t>7.</w:t>
      </w:r>
      <w:r>
        <w:rPr>
          <w:rFonts w:ascii="Tahoma" w:hAnsi="Tahoma" w:cs="Tahoma"/>
        </w:rPr>
        <w:t>4</w:t>
      </w:r>
      <w:r w:rsidRPr="00A815B9">
        <w:rPr>
          <w:rFonts w:ascii="Tahoma" w:hAnsi="Tahoma" w:cs="Tahoma"/>
        </w:rPr>
        <w:t xml:space="preserve"> Risques de fuite de production et fraude commerciale</w:t>
      </w:r>
      <w:bookmarkEnd w:id="28"/>
    </w:p>
    <w:p w14:paraId="05596F40"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L'analyse des asymétries révèle trois typologies de risque stratégique :</w:t>
      </w:r>
    </w:p>
    <w:p w14:paraId="530DAA17"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Risque de sous-déclaration chronique à l'exportation : malgré l'amélioration tendancielle, l'écart cumulé de 25,4 t sur cinq ans confirme que la sous-déclaration est structurelle et non conjoncturelle. Les mécanismes de contrôle actuels sont insuffisants pour couvrir l'ensemble des flux.</w:t>
      </w:r>
    </w:p>
    <w:p w14:paraId="4E4304E7" w14:textId="77777777" w:rsidR="008E608A" w:rsidRDefault="008E608A" w:rsidP="008E608A">
      <w:pPr>
        <w:pStyle w:val="Paragraphedeliste"/>
        <w:numPr>
          <w:ilvl w:val="0"/>
          <w:numId w:val="2"/>
        </w:numPr>
        <w:spacing w:after="80" w:line="276" w:lineRule="auto"/>
        <w:jc w:val="both"/>
        <w:rPr>
          <w:rFonts w:ascii="Tahoma" w:hAnsi="Tahoma" w:cs="Tahoma"/>
        </w:rPr>
      </w:pPr>
      <w:r w:rsidRPr="00B70092">
        <w:rPr>
          <w:rFonts w:ascii="Tahoma" w:hAnsi="Tahoma" w:cs="Tahoma"/>
        </w:rPr>
        <w:t>Les flux observés vers les Émirats arabes unis et les routes sous-régionales indiquent l’existence probable de circuits parallèles de commercialisation échappant aux dispositifs classiques de contrôle.</w:t>
      </w:r>
    </w:p>
    <w:p w14:paraId="7C1FF5DE" w14:textId="77777777" w:rsidR="008E608A" w:rsidRDefault="008E608A" w:rsidP="008E608A">
      <w:pPr>
        <w:pStyle w:val="Paragraphedeliste"/>
        <w:numPr>
          <w:ilvl w:val="0"/>
          <w:numId w:val="2"/>
        </w:numPr>
        <w:spacing w:after="80" w:line="276" w:lineRule="auto"/>
        <w:jc w:val="both"/>
        <w:rPr>
          <w:rFonts w:ascii="Tahoma" w:hAnsi="Tahoma" w:cs="Tahoma"/>
        </w:rPr>
      </w:pPr>
      <w:r>
        <w:rPr>
          <w:rFonts w:ascii="Tahoma" w:hAnsi="Tahoma" w:cs="Tahoma"/>
        </w:rPr>
        <w:t xml:space="preserve">Le </w:t>
      </w:r>
      <w:r w:rsidRPr="00A815B9">
        <w:rPr>
          <w:rFonts w:ascii="Tahoma" w:hAnsi="Tahoma" w:cs="Tahoma"/>
        </w:rPr>
        <w:t>transit régional non contrôlé (route malienne) constitue le principal mécanisme de contournement des contrôles douaniers sénégalais. Les volumes réels d'or sénégalais exportés via ce corridor restent non quantifiés.</w:t>
      </w:r>
    </w:p>
    <w:p w14:paraId="712851B0" w14:textId="77777777" w:rsidR="008E608A" w:rsidRDefault="008E608A" w:rsidP="008E608A">
      <w:pPr>
        <w:spacing w:after="80" w:line="276" w:lineRule="auto"/>
        <w:jc w:val="both"/>
        <w:rPr>
          <w:rFonts w:ascii="Tahoma" w:hAnsi="Tahoma" w:cs="Tahoma"/>
        </w:rPr>
      </w:pPr>
    </w:p>
    <w:p w14:paraId="32D2B982" w14:textId="77777777" w:rsidR="008E608A" w:rsidRDefault="008E608A" w:rsidP="008E608A">
      <w:pPr>
        <w:spacing w:before="60" w:after="80" w:line="276" w:lineRule="auto"/>
        <w:jc w:val="both"/>
        <w:rPr>
          <w:rFonts w:ascii="Tahoma" w:hAnsi="Tahoma" w:cs="Tahoma"/>
          <w:b/>
          <w:sz w:val="20"/>
          <w:szCs w:val="20"/>
        </w:rPr>
      </w:pPr>
      <w:r>
        <w:rPr>
          <w:rFonts w:ascii="Tahoma" w:hAnsi="Tahoma" w:cs="Tahoma"/>
          <w:b/>
          <w:color w:val="1F3864"/>
          <w:sz w:val="20"/>
          <w:szCs w:val="20"/>
        </w:rPr>
        <w:t>Nécessité impérative de renforcer les dispositifs de contrôle, de traçabilité et de suivi des exportations EMAPE</w:t>
      </w:r>
    </w:p>
    <w:p w14:paraId="592391B5" w14:textId="77777777" w:rsidR="008E608A" w:rsidRDefault="008E608A" w:rsidP="008E608A">
      <w:pPr>
        <w:spacing w:after="80" w:line="276" w:lineRule="auto"/>
        <w:jc w:val="both"/>
        <w:rPr>
          <w:rFonts w:ascii="Tahoma" w:hAnsi="Tahoma" w:cs="Tahoma"/>
          <w:color w:val="000000"/>
          <w:sz w:val="20"/>
          <w:szCs w:val="20"/>
        </w:rPr>
      </w:pPr>
      <w:r>
        <w:rPr>
          <w:rFonts w:ascii="Tahoma" w:hAnsi="Tahoma" w:cs="Tahoma"/>
          <w:color w:val="000000"/>
          <w:sz w:val="20"/>
          <w:szCs w:val="20"/>
        </w:rPr>
        <w:t xml:space="preserve">L’analyse des données 2020–2024 démontre que les écarts entre les importations </w:t>
      </w:r>
      <w:proofErr w:type="spellStart"/>
      <w:r>
        <w:rPr>
          <w:rFonts w:ascii="Tahoma" w:hAnsi="Tahoma" w:cs="Tahoma"/>
          <w:color w:val="000000"/>
          <w:sz w:val="20"/>
          <w:szCs w:val="20"/>
        </w:rPr>
        <w:t>Comtrade</w:t>
      </w:r>
      <w:proofErr w:type="spellEnd"/>
      <w:r>
        <w:rPr>
          <w:rFonts w:ascii="Tahoma" w:hAnsi="Tahoma" w:cs="Tahoma"/>
          <w:color w:val="000000"/>
          <w:sz w:val="20"/>
          <w:szCs w:val="20"/>
        </w:rPr>
        <w:t xml:space="preserve"> et les exportations ITIE ne sont pas réductibles à des artefacts statistiques. Ils reflètent des flux physiques réels d’or EMAPE exportés sans déclaration, dont la valeur cumulée est estimée à plus de 1 000 milliards de FCFA sur la période, engendrant une perte de l’ordre de 50,8 milliards de FCFA au titre de la seule redevance minière (taux de 5 %).</w:t>
      </w:r>
    </w:p>
    <w:p w14:paraId="4499B2A8" w14:textId="77777777" w:rsidR="008E608A" w:rsidRDefault="008E608A" w:rsidP="008E608A">
      <w:pPr>
        <w:spacing w:after="80" w:line="276" w:lineRule="auto"/>
        <w:jc w:val="both"/>
        <w:rPr>
          <w:rFonts w:ascii="Tahoma" w:hAnsi="Tahoma" w:cs="Tahoma"/>
          <w:sz w:val="20"/>
          <w:szCs w:val="20"/>
        </w:rPr>
      </w:pPr>
      <w:r>
        <w:rPr>
          <w:rFonts w:ascii="Tahoma" w:hAnsi="Tahoma" w:cs="Tahoma"/>
          <w:color w:val="000000"/>
          <w:sz w:val="20"/>
          <w:szCs w:val="20"/>
        </w:rPr>
        <w:t>Sans mesures correctrices structurelles, cette situation est amenée à se reproduire indéfiniment, compromettant la conformité ITIE et la mobilisation des recettes publiques.</w:t>
      </w:r>
    </w:p>
    <w:p w14:paraId="5767B211" w14:textId="77777777" w:rsidR="008E608A" w:rsidRDefault="008E608A" w:rsidP="008E608A">
      <w:pPr>
        <w:spacing w:after="80" w:line="276" w:lineRule="auto"/>
        <w:jc w:val="both"/>
        <w:rPr>
          <w:rFonts w:ascii="Tahoma" w:hAnsi="Tahoma" w:cs="Tahoma"/>
          <w:sz w:val="20"/>
          <w:szCs w:val="20"/>
        </w:rPr>
      </w:pPr>
      <w:r>
        <w:rPr>
          <w:rFonts w:ascii="Tahoma" w:hAnsi="Tahoma" w:cs="Tahoma"/>
          <w:color w:val="000000"/>
          <w:sz w:val="20"/>
          <w:szCs w:val="20"/>
        </w:rPr>
        <w:t>Trois leviers d’intervention sont identifiés comme prioritaires, par ordre croissant d’impact potentiel :</w:t>
      </w:r>
    </w:p>
    <w:p w14:paraId="40272A9D" w14:textId="77777777" w:rsidR="008E608A" w:rsidRPr="00984003" w:rsidRDefault="008E608A" w:rsidP="008E608A">
      <w:pPr>
        <w:pStyle w:val="Paragraphedeliste"/>
        <w:numPr>
          <w:ilvl w:val="0"/>
          <w:numId w:val="4"/>
        </w:numPr>
        <w:spacing w:after="80" w:line="276" w:lineRule="auto"/>
        <w:jc w:val="both"/>
        <w:rPr>
          <w:rFonts w:ascii="Tahoma" w:hAnsi="Tahoma" w:cs="Tahoma"/>
          <w:sz w:val="20"/>
          <w:szCs w:val="20"/>
        </w:rPr>
      </w:pPr>
      <w:proofErr w:type="gramStart"/>
      <w:r w:rsidRPr="00984003">
        <w:rPr>
          <w:rFonts w:ascii="Tahoma" w:hAnsi="Tahoma" w:cs="Tahoma"/>
          <w:color w:val="000000"/>
          <w:sz w:val="20"/>
          <w:szCs w:val="20"/>
        </w:rPr>
        <w:t>le</w:t>
      </w:r>
      <w:proofErr w:type="gramEnd"/>
      <w:r w:rsidRPr="00984003">
        <w:rPr>
          <w:rFonts w:ascii="Tahoma" w:hAnsi="Tahoma" w:cs="Tahoma"/>
          <w:color w:val="000000"/>
          <w:sz w:val="20"/>
          <w:szCs w:val="20"/>
        </w:rPr>
        <w:t xml:space="preserve"> renforcement des postes-frontières terrestres (</w:t>
      </w:r>
      <w:proofErr w:type="spellStart"/>
      <w:r w:rsidRPr="00984003">
        <w:rPr>
          <w:rFonts w:ascii="Tahoma" w:hAnsi="Tahoma" w:cs="Tahoma"/>
          <w:color w:val="000000"/>
          <w:sz w:val="20"/>
          <w:szCs w:val="20"/>
        </w:rPr>
        <w:t>Moussala</w:t>
      </w:r>
      <w:proofErr w:type="spellEnd"/>
      <w:r w:rsidRPr="00984003">
        <w:rPr>
          <w:rFonts w:ascii="Tahoma" w:hAnsi="Tahoma" w:cs="Tahoma"/>
          <w:color w:val="000000"/>
          <w:sz w:val="20"/>
          <w:szCs w:val="20"/>
        </w:rPr>
        <w:t xml:space="preserve">, Kédougou-Mali, Medina </w:t>
      </w:r>
      <w:proofErr w:type="spellStart"/>
      <w:r w:rsidRPr="00984003">
        <w:rPr>
          <w:rFonts w:ascii="Tahoma" w:hAnsi="Tahoma" w:cs="Tahoma"/>
          <w:color w:val="000000"/>
          <w:sz w:val="20"/>
          <w:szCs w:val="20"/>
        </w:rPr>
        <w:t>Gonasse</w:t>
      </w:r>
      <w:proofErr w:type="spellEnd"/>
      <w:r w:rsidRPr="00984003">
        <w:rPr>
          <w:rFonts w:ascii="Tahoma" w:hAnsi="Tahoma" w:cs="Tahoma"/>
          <w:color w:val="000000"/>
          <w:sz w:val="20"/>
          <w:szCs w:val="20"/>
        </w:rPr>
        <w:t>), et la mise en place de procédures de déclaration obligatoire pour tout exportateur d’or sont des mesures à déployer en priorité à court terme</w:t>
      </w:r>
      <w:r>
        <w:rPr>
          <w:rFonts w:ascii="Tahoma" w:hAnsi="Tahoma" w:cs="Tahoma"/>
          <w:b/>
          <w:color w:val="C55A11"/>
          <w:sz w:val="20"/>
          <w:szCs w:val="20"/>
        </w:rPr>
        <w:t> ;</w:t>
      </w:r>
    </w:p>
    <w:p w14:paraId="399AAD37" w14:textId="77777777" w:rsidR="008E608A" w:rsidRPr="00984003" w:rsidRDefault="008E608A" w:rsidP="008E608A">
      <w:pPr>
        <w:pStyle w:val="Paragraphedeliste"/>
        <w:numPr>
          <w:ilvl w:val="0"/>
          <w:numId w:val="4"/>
        </w:numPr>
        <w:spacing w:after="80" w:line="276" w:lineRule="auto"/>
        <w:jc w:val="both"/>
        <w:rPr>
          <w:rFonts w:ascii="Tahoma" w:hAnsi="Tahoma" w:cs="Tahoma"/>
          <w:sz w:val="20"/>
          <w:szCs w:val="20"/>
        </w:rPr>
      </w:pPr>
      <w:r>
        <w:rPr>
          <w:rFonts w:ascii="Tahoma" w:hAnsi="Tahoma" w:cs="Tahoma"/>
          <w:color w:val="000000"/>
          <w:sz w:val="20"/>
          <w:szCs w:val="20"/>
        </w:rPr>
        <w:t>L’introduction d’un système de certification de l’or artisanal depuis les cinq couloirs opérationnels (</w:t>
      </w:r>
      <w:proofErr w:type="spellStart"/>
      <w:r>
        <w:rPr>
          <w:rFonts w:ascii="Tahoma" w:hAnsi="Tahoma" w:cs="Tahoma"/>
          <w:color w:val="000000"/>
          <w:sz w:val="20"/>
          <w:szCs w:val="20"/>
        </w:rPr>
        <w:t>Bantaco</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Tenkoto</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Kharakhena</w:t>
      </w:r>
      <w:proofErr w:type="spellEnd"/>
      <w:r>
        <w:rPr>
          <w:rFonts w:ascii="Tahoma" w:hAnsi="Tahoma" w:cs="Tahoma"/>
          <w:color w:val="000000"/>
          <w:sz w:val="20"/>
          <w:szCs w:val="20"/>
        </w:rPr>
        <w:t xml:space="preserve">, </w:t>
      </w:r>
      <w:proofErr w:type="spellStart"/>
      <w:r>
        <w:rPr>
          <w:rFonts w:ascii="Tahoma" w:hAnsi="Tahoma" w:cs="Tahoma"/>
          <w:color w:val="000000"/>
          <w:sz w:val="20"/>
          <w:szCs w:val="20"/>
        </w:rPr>
        <w:t>Garaboureya</w:t>
      </w:r>
      <w:proofErr w:type="spellEnd"/>
      <w:r>
        <w:rPr>
          <w:rFonts w:ascii="Tahoma" w:hAnsi="Tahoma" w:cs="Tahoma"/>
          <w:color w:val="000000"/>
          <w:sz w:val="20"/>
          <w:szCs w:val="20"/>
        </w:rPr>
        <w:t xml:space="preserve"> Sud, </w:t>
      </w:r>
      <w:proofErr w:type="spellStart"/>
      <w:r>
        <w:rPr>
          <w:rFonts w:ascii="Tahoma" w:hAnsi="Tahoma" w:cs="Tahoma"/>
          <w:color w:val="000000"/>
          <w:sz w:val="20"/>
          <w:szCs w:val="20"/>
        </w:rPr>
        <w:t>Bondala</w:t>
      </w:r>
      <w:proofErr w:type="spellEnd"/>
      <w:r>
        <w:rPr>
          <w:rFonts w:ascii="Tahoma" w:hAnsi="Tahoma" w:cs="Tahoma"/>
          <w:color w:val="000000"/>
          <w:sz w:val="20"/>
          <w:szCs w:val="20"/>
        </w:rPr>
        <w:t>) - intégrant pesée certifiée, étiquetage numérique et bon de traçabilité - permettrait de fermer le maillon amont de la chaîne informelle. Les expériences de RDC (</w:t>
      </w:r>
      <w:proofErr w:type="spellStart"/>
      <w:r>
        <w:rPr>
          <w:rFonts w:ascii="Tahoma" w:hAnsi="Tahoma" w:cs="Tahoma"/>
          <w:color w:val="000000"/>
          <w:sz w:val="20"/>
          <w:szCs w:val="20"/>
        </w:rPr>
        <w:t>iTSCi</w:t>
      </w:r>
      <w:proofErr w:type="spellEnd"/>
      <w:r>
        <w:rPr>
          <w:rFonts w:ascii="Tahoma" w:hAnsi="Tahoma" w:cs="Tahoma"/>
          <w:color w:val="000000"/>
          <w:sz w:val="20"/>
          <w:szCs w:val="20"/>
        </w:rPr>
        <w:t>, CTC) et du Rwanda (certification nationale) offrent des modèles adaptables au contexte sénégalais ;</w:t>
      </w:r>
    </w:p>
    <w:p w14:paraId="7DF3EB32" w14:textId="77777777" w:rsidR="008E608A" w:rsidRPr="00984003" w:rsidRDefault="008E608A" w:rsidP="008E608A">
      <w:pPr>
        <w:pStyle w:val="Paragraphedeliste"/>
        <w:numPr>
          <w:ilvl w:val="0"/>
          <w:numId w:val="4"/>
        </w:numPr>
        <w:spacing w:after="80" w:line="276" w:lineRule="auto"/>
        <w:jc w:val="both"/>
        <w:rPr>
          <w:rFonts w:ascii="Tahoma" w:hAnsi="Tahoma" w:cs="Tahoma"/>
        </w:rPr>
      </w:pPr>
      <w:r w:rsidRPr="00984003">
        <w:rPr>
          <w:rFonts w:ascii="Tahoma" w:hAnsi="Tahoma" w:cs="Tahoma"/>
          <w:color w:val="000000"/>
          <w:sz w:val="20"/>
          <w:szCs w:val="20"/>
        </w:rPr>
        <w:t xml:space="preserve">L’analyse </w:t>
      </w:r>
      <w:proofErr w:type="spellStart"/>
      <w:r w:rsidRPr="00984003">
        <w:rPr>
          <w:rFonts w:ascii="Tahoma" w:hAnsi="Tahoma" w:cs="Tahoma"/>
          <w:color w:val="000000"/>
          <w:sz w:val="20"/>
          <w:szCs w:val="20"/>
        </w:rPr>
        <w:t>Comtrade</w:t>
      </w:r>
      <w:proofErr w:type="spellEnd"/>
      <w:r w:rsidRPr="00984003">
        <w:rPr>
          <w:rFonts w:ascii="Tahoma" w:hAnsi="Tahoma" w:cs="Tahoma"/>
          <w:color w:val="000000"/>
          <w:sz w:val="20"/>
          <w:szCs w:val="20"/>
        </w:rPr>
        <w:t>/ITIE conduite dans ce rapport doit être institutionnalisée sous forme d’un suivi annuel publié dans les rapports ITIE, avec des notes de réconciliation.</w:t>
      </w:r>
    </w:p>
    <w:p w14:paraId="1192E3AA" w14:textId="77777777" w:rsidR="008E608A" w:rsidRDefault="008E608A" w:rsidP="008E608A">
      <w:pPr>
        <w:spacing w:after="80" w:line="276" w:lineRule="auto"/>
        <w:jc w:val="both"/>
        <w:rPr>
          <w:rFonts w:ascii="Tahoma" w:hAnsi="Tahoma" w:cs="Tahoma"/>
        </w:rPr>
      </w:pPr>
    </w:p>
    <w:p w14:paraId="4B34A608" w14:textId="77777777" w:rsidR="008E608A" w:rsidRPr="00A815B9" w:rsidRDefault="008E608A" w:rsidP="008E608A">
      <w:pPr>
        <w:pStyle w:val="Titre2"/>
        <w:spacing w:after="80" w:line="276" w:lineRule="auto"/>
        <w:jc w:val="both"/>
        <w:rPr>
          <w:rFonts w:ascii="Tahoma" w:hAnsi="Tahoma" w:cs="Tahoma"/>
        </w:rPr>
      </w:pPr>
      <w:bookmarkStart w:id="29" w:name="_Toc230168251"/>
      <w:r>
        <w:rPr>
          <w:rFonts w:ascii="Tahoma" w:hAnsi="Tahoma" w:cs="Tahoma"/>
        </w:rPr>
        <w:t>7</w:t>
      </w:r>
      <w:r w:rsidRPr="00A815B9">
        <w:rPr>
          <w:rFonts w:ascii="Tahoma" w:hAnsi="Tahoma" w:cs="Tahoma"/>
        </w:rPr>
        <w:t>.</w:t>
      </w:r>
      <w:r>
        <w:rPr>
          <w:rFonts w:ascii="Tahoma" w:hAnsi="Tahoma" w:cs="Tahoma"/>
        </w:rPr>
        <w:t>5</w:t>
      </w:r>
      <w:r w:rsidRPr="00A815B9">
        <w:rPr>
          <w:rFonts w:ascii="Tahoma" w:hAnsi="Tahoma" w:cs="Tahoma"/>
        </w:rPr>
        <w:t xml:space="preserve"> Triangulation avec les données de production EMAPE déclarées</w:t>
      </w:r>
      <w:bookmarkEnd w:id="29"/>
    </w:p>
    <w:p w14:paraId="3DD2605E" w14:textId="77777777" w:rsidR="008E608A" w:rsidRPr="00A815B9" w:rsidRDefault="008E608A" w:rsidP="008E608A">
      <w:pPr>
        <w:spacing w:after="80" w:line="276" w:lineRule="auto"/>
        <w:jc w:val="both"/>
        <w:rPr>
          <w:rFonts w:ascii="Tahoma" w:hAnsi="Tahoma" w:cs="Tahoma"/>
        </w:rPr>
      </w:pPr>
    </w:p>
    <w:tbl>
      <w:tblPr>
        <w:tblW w:w="9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5"/>
        <w:gridCol w:w="867"/>
        <w:gridCol w:w="992"/>
        <w:gridCol w:w="3889"/>
      </w:tblGrid>
      <w:tr w:rsidR="008E608A" w:rsidRPr="00A815B9" w14:paraId="7688B5AE" w14:textId="77777777" w:rsidTr="001E07B7">
        <w:tblPrEx>
          <w:tblCellMar>
            <w:top w:w="0" w:type="dxa"/>
            <w:bottom w:w="0" w:type="dxa"/>
          </w:tblCellMar>
        </w:tblPrEx>
        <w:trPr>
          <w:trHeight w:val="281"/>
          <w:tblHeader/>
        </w:trPr>
        <w:tc>
          <w:tcPr>
            <w:tcW w:w="3543"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AC7B95C"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Indicateur</w:t>
            </w:r>
          </w:p>
        </w:tc>
        <w:tc>
          <w:tcPr>
            <w:tcW w:w="851"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B1ED5A3"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2023</w:t>
            </w:r>
          </w:p>
        </w:tc>
        <w:tc>
          <w:tcPr>
            <w:tcW w:w="99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8F6B88A"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2024</w:t>
            </w:r>
          </w:p>
        </w:tc>
        <w:tc>
          <w:tcPr>
            <w:tcW w:w="3897"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C125661" w14:textId="77777777" w:rsidR="008E608A" w:rsidRPr="00A815B9" w:rsidRDefault="008E608A" w:rsidP="001E07B7">
            <w:pPr>
              <w:spacing w:after="80" w:line="276" w:lineRule="auto"/>
              <w:jc w:val="both"/>
              <w:rPr>
                <w:rFonts w:ascii="Tahoma" w:hAnsi="Tahoma" w:cs="Tahoma"/>
              </w:rPr>
            </w:pPr>
            <w:r w:rsidRPr="00A815B9">
              <w:rPr>
                <w:rFonts w:ascii="Tahoma" w:hAnsi="Tahoma" w:cs="Tahoma"/>
                <w:b/>
                <w:bCs/>
                <w:color w:val="FFFFFF"/>
                <w:sz w:val="19"/>
                <w:szCs w:val="19"/>
              </w:rPr>
              <w:t>Remarques</w:t>
            </w:r>
          </w:p>
        </w:tc>
      </w:tr>
      <w:tr w:rsidR="008E608A" w:rsidRPr="00A815B9" w14:paraId="37285DE3" w14:textId="77777777" w:rsidTr="001E07B7">
        <w:tblPrEx>
          <w:tblCellMar>
            <w:top w:w="0" w:type="dxa"/>
            <w:bottom w:w="0" w:type="dxa"/>
          </w:tblCellMar>
        </w:tblPrEx>
        <w:trPr>
          <w:trHeight w:val="609"/>
        </w:trPr>
        <w:tc>
          <w:tcPr>
            <w:tcW w:w="354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5AECA5F"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Production EMAPE déclarée (kg)</w:t>
            </w:r>
          </w:p>
        </w:tc>
        <w:tc>
          <w:tcPr>
            <w:tcW w:w="85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D968995"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62,16</w:t>
            </w:r>
          </w:p>
        </w:tc>
        <w:tc>
          <w:tcPr>
            <w:tcW w:w="9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32908B3"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87,86</w:t>
            </w:r>
          </w:p>
        </w:tc>
        <w:tc>
          <w:tcPr>
            <w:tcW w:w="38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83F8042"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12 entreprises déclarantes sur 96 AMSM actives</w:t>
            </w:r>
          </w:p>
        </w:tc>
      </w:tr>
      <w:tr w:rsidR="008E608A" w:rsidRPr="00A815B9" w14:paraId="21AC3EB1" w14:textId="77777777" w:rsidTr="001E07B7">
        <w:tblPrEx>
          <w:tblCellMar>
            <w:top w:w="0" w:type="dxa"/>
            <w:bottom w:w="0" w:type="dxa"/>
          </w:tblCellMar>
        </w:tblPrEx>
        <w:trPr>
          <w:trHeight w:val="594"/>
        </w:trPr>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2A69553"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Référence EMOR 2017 (tonnes)</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BBB4C0B"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4,3</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B61395C"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4,3</w:t>
            </w:r>
          </w:p>
        </w:tc>
        <w:tc>
          <w:tcPr>
            <w:tcW w:w="3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BE23F89"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Estimation de référence pour comparaison</w:t>
            </w:r>
          </w:p>
        </w:tc>
      </w:tr>
      <w:tr w:rsidR="008E608A" w:rsidRPr="00A815B9" w14:paraId="72B363D1" w14:textId="77777777" w:rsidTr="001E07B7">
        <w:tblPrEx>
          <w:tblCellMar>
            <w:top w:w="0" w:type="dxa"/>
            <w:bottom w:w="0" w:type="dxa"/>
          </w:tblCellMar>
        </w:tblPrEx>
        <w:trPr>
          <w:trHeight w:val="609"/>
        </w:trPr>
        <w:tc>
          <w:tcPr>
            <w:tcW w:w="354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7EDD08F"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Ratio déclaré / estimé (%)</w:t>
            </w:r>
          </w:p>
        </w:tc>
        <w:tc>
          <w:tcPr>
            <w:tcW w:w="85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966E9FF"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1,4 %</w:t>
            </w:r>
          </w:p>
        </w:tc>
        <w:tc>
          <w:tcPr>
            <w:tcW w:w="9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C2BB2A0"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2,0 %</w:t>
            </w:r>
          </w:p>
        </w:tc>
        <w:tc>
          <w:tcPr>
            <w:tcW w:w="38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3709FE8"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Angle mort statistique massif</w:t>
            </w:r>
          </w:p>
        </w:tc>
      </w:tr>
      <w:tr w:rsidR="008E608A" w:rsidRPr="00A815B9" w14:paraId="5FCBABBD" w14:textId="77777777" w:rsidTr="001E07B7">
        <w:tblPrEx>
          <w:tblCellMar>
            <w:top w:w="0" w:type="dxa"/>
            <w:bottom w:w="0" w:type="dxa"/>
          </w:tblCellMar>
        </w:tblPrEx>
        <w:trPr>
          <w:trHeight w:val="578"/>
        </w:trPr>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7092F47"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 xml:space="preserve">Imports </w:t>
            </w:r>
            <w:proofErr w:type="spellStart"/>
            <w:r w:rsidRPr="003F07C2">
              <w:rPr>
                <w:rFonts w:ascii="Tahoma" w:hAnsi="Tahoma" w:cs="Tahoma"/>
                <w:sz w:val="20"/>
                <w:szCs w:val="20"/>
              </w:rPr>
              <w:t>Comtrade</w:t>
            </w:r>
            <w:proofErr w:type="spellEnd"/>
            <w:r w:rsidRPr="003F07C2">
              <w:rPr>
                <w:rFonts w:ascii="Tahoma" w:hAnsi="Tahoma" w:cs="Tahoma"/>
                <w:sz w:val="20"/>
                <w:szCs w:val="20"/>
              </w:rPr>
              <w:t xml:space="preserve"> (tonnes)</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667956D"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18,447</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EDC603F"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11,188</w:t>
            </w:r>
          </w:p>
        </w:tc>
        <w:tc>
          <w:tcPr>
            <w:tcW w:w="3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7652F12" w14:textId="77777777" w:rsidR="008E608A" w:rsidRPr="003F07C2" w:rsidRDefault="008E608A" w:rsidP="001E07B7">
            <w:pPr>
              <w:spacing w:after="80" w:line="276" w:lineRule="auto"/>
              <w:jc w:val="both"/>
              <w:rPr>
                <w:rFonts w:ascii="Tahoma" w:hAnsi="Tahoma" w:cs="Tahoma"/>
              </w:rPr>
            </w:pPr>
            <w:r w:rsidRPr="003F07C2">
              <w:rPr>
                <w:rFonts w:ascii="Tahoma" w:hAnsi="Tahoma" w:cs="Tahoma"/>
                <w:sz w:val="20"/>
                <w:szCs w:val="20"/>
              </w:rPr>
              <w:t>Supérieurs de ×200 à la production déclarée</w:t>
            </w:r>
          </w:p>
        </w:tc>
      </w:tr>
    </w:tbl>
    <w:p w14:paraId="23886893" w14:textId="77777777" w:rsidR="008E608A" w:rsidRPr="00A815B9" w:rsidRDefault="008E608A" w:rsidP="008E608A">
      <w:pPr>
        <w:spacing w:after="80" w:line="276" w:lineRule="auto"/>
        <w:jc w:val="both"/>
        <w:rPr>
          <w:rFonts w:ascii="Tahoma" w:hAnsi="Tahoma" w:cs="Tahoma"/>
        </w:rPr>
      </w:pPr>
    </w:p>
    <w:p w14:paraId="43208CFE" w14:textId="77777777" w:rsidR="008E608A" w:rsidRPr="00E74514" w:rsidRDefault="008E608A" w:rsidP="008E608A">
      <w:pPr>
        <w:spacing w:after="80" w:line="276" w:lineRule="auto"/>
        <w:jc w:val="both"/>
        <w:rPr>
          <w:rFonts w:ascii="Tahoma" w:hAnsi="Tahoma" w:cs="Tahoma"/>
          <w:color w:val="000000"/>
          <w:sz w:val="20"/>
          <w:szCs w:val="20"/>
        </w:rPr>
      </w:pPr>
      <w:r w:rsidRPr="00E74514">
        <w:rPr>
          <w:rFonts w:ascii="Tahoma" w:hAnsi="Tahoma" w:cs="Tahoma"/>
          <w:color w:val="000000"/>
          <w:sz w:val="20"/>
          <w:szCs w:val="20"/>
        </w:rPr>
        <w:t xml:space="preserve">La comparaison entre production EMAPE déclarée au niveau de l’administration minière et importations </w:t>
      </w:r>
      <w:proofErr w:type="spellStart"/>
      <w:r w:rsidRPr="00E74514">
        <w:rPr>
          <w:rFonts w:ascii="Tahoma" w:hAnsi="Tahoma" w:cs="Tahoma"/>
          <w:color w:val="000000"/>
          <w:sz w:val="20"/>
          <w:szCs w:val="20"/>
        </w:rPr>
        <w:t>Comtrade</w:t>
      </w:r>
      <w:proofErr w:type="spellEnd"/>
      <w:r w:rsidRPr="00E74514">
        <w:rPr>
          <w:rFonts w:ascii="Tahoma" w:hAnsi="Tahoma" w:cs="Tahoma"/>
          <w:color w:val="000000"/>
          <w:sz w:val="20"/>
          <w:szCs w:val="20"/>
        </w:rPr>
        <w:t xml:space="preserve"> illustre l'ampleur de la production non capturée.</w:t>
      </w:r>
    </w:p>
    <w:p w14:paraId="52CDD1F3" w14:textId="77777777" w:rsidR="008E608A" w:rsidRPr="00A815B9" w:rsidRDefault="008E608A" w:rsidP="008E608A">
      <w:pPr>
        <w:spacing w:after="80" w:line="276" w:lineRule="auto"/>
        <w:jc w:val="both"/>
        <w:rPr>
          <w:rFonts w:ascii="Tahoma" w:hAnsi="Tahoma" w:cs="Tahoma"/>
        </w:rPr>
      </w:pPr>
    </w:p>
    <w:p w14:paraId="3CFC43C6" w14:textId="77777777" w:rsidR="008E608A" w:rsidRDefault="008E608A" w:rsidP="008E608A">
      <w:pPr>
        <w:spacing w:after="80" w:line="276" w:lineRule="auto"/>
        <w:jc w:val="both"/>
        <w:rPr>
          <w:rFonts w:ascii="Tahoma" w:hAnsi="Tahoma" w:cs="Tahoma"/>
          <w:b/>
          <w:bCs/>
          <w:color w:val="1C3A5C"/>
          <w:sz w:val="34"/>
          <w:szCs w:val="34"/>
        </w:rPr>
      </w:pPr>
      <w:r>
        <w:rPr>
          <w:rFonts w:ascii="Tahoma" w:hAnsi="Tahoma" w:cs="Tahoma"/>
        </w:rPr>
        <w:br w:type="page"/>
      </w:r>
    </w:p>
    <w:p w14:paraId="34C0DD5F" w14:textId="77777777" w:rsidR="008E608A" w:rsidRPr="00A815B9" w:rsidRDefault="008E608A" w:rsidP="008E608A">
      <w:pPr>
        <w:pStyle w:val="Titre1"/>
        <w:spacing w:after="80" w:line="276" w:lineRule="auto"/>
        <w:jc w:val="both"/>
        <w:rPr>
          <w:rFonts w:ascii="Tahoma" w:hAnsi="Tahoma" w:cs="Tahoma"/>
        </w:rPr>
      </w:pPr>
      <w:bookmarkStart w:id="30" w:name="_Toc230168252"/>
      <w:r w:rsidRPr="00A815B9">
        <w:rPr>
          <w:rFonts w:ascii="Tahoma" w:hAnsi="Tahoma" w:cs="Tahoma"/>
        </w:rPr>
        <w:lastRenderedPageBreak/>
        <w:t>9. Recommandations</w:t>
      </w:r>
      <w:bookmarkEnd w:id="30"/>
    </w:p>
    <w:p w14:paraId="65F94234"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Les recommandations suivantes sont formulées à </w:t>
      </w:r>
      <w:r>
        <w:rPr>
          <w:rFonts w:ascii="Tahoma" w:hAnsi="Tahoma" w:cs="Tahoma"/>
          <w:color w:val="000000"/>
        </w:rPr>
        <w:t xml:space="preserve">l’endroit </w:t>
      </w:r>
      <w:r w:rsidRPr="00A815B9">
        <w:rPr>
          <w:rFonts w:ascii="Tahoma" w:hAnsi="Tahoma" w:cs="Tahoma"/>
          <w:color w:val="000000"/>
        </w:rPr>
        <w:t>des parties prenantes concernées.</w:t>
      </w:r>
    </w:p>
    <w:p w14:paraId="266DA3AD" w14:textId="77777777" w:rsidR="008E608A" w:rsidRPr="00A815B9" w:rsidRDefault="008E608A" w:rsidP="008E608A">
      <w:pPr>
        <w:pStyle w:val="Titre2"/>
        <w:spacing w:after="80" w:line="276" w:lineRule="auto"/>
        <w:jc w:val="both"/>
        <w:rPr>
          <w:rFonts w:ascii="Tahoma" w:hAnsi="Tahoma" w:cs="Tahoma"/>
        </w:rPr>
      </w:pPr>
      <w:bookmarkStart w:id="31" w:name="_Toc230168253"/>
      <w:r w:rsidRPr="00A815B9">
        <w:rPr>
          <w:rFonts w:ascii="Tahoma" w:hAnsi="Tahoma" w:cs="Tahoma"/>
        </w:rPr>
        <w:t>Renforcement du dispositif de collecte de données à la source</w:t>
      </w:r>
      <w:bookmarkEnd w:id="31"/>
    </w:p>
    <w:p w14:paraId="572CF512"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Mettre en place un système de pesée et de certification de la production au niveau des cinq couloirs opérationnels (</w:t>
      </w:r>
      <w:proofErr w:type="spellStart"/>
      <w:r w:rsidRPr="00A815B9">
        <w:rPr>
          <w:rFonts w:ascii="Tahoma" w:hAnsi="Tahoma" w:cs="Tahoma"/>
        </w:rPr>
        <w:t>Bantaco</w:t>
      </w:r>
      <w:proofErr w:type="spellEnd"/>
      <w:r w:rsidRPr="00A815B9">
        <w:rPr>
          <w:rFonts w:ascii="Tahoma" w:hAnsi="Tahoma" w:cs="Tahoma"/>
        </w:rPr>
        <w:t xml:space="preserve">, </w:t>
      </w:r>
      <w:proofErr w:type="spellStart"/>
      <w:r w:rsidRPr="00A815B9">
        <w:rPr>
          <w:rFonts w:ascii="Tahoma" w:hAnsi="Tahoma" w:cs="Tahoma"/>
        </w:rPr>
        <w:t>Tenkoto</w:t>
      </w:r>
      <w:proofErr w:type="spellEnd"/>
      <w:r w:rsidRPr="00A815B9">
        <w:rPr>
          <w:rFonts w:ascii="Tahoma" w:hAnsi="Tahoma" w:cs="Tahoma"/>
        </w:rPr>
        <w:t xml:space="preserve">, </w:t>
      </w:r>
      <w:proofErr w:type="spellStart"/>
      <w:r w:rsidRPr="00A815B9">
        <w:rPr>
          <w:rFonts w:ascii="Tahoma" w:hAnsi="Tahoma" w:cs="Tahoma"/>
        </w:rPr>
        <w:t>Kharakhena</w:t>
      </w:r>
      <w:proofErr w:type="spellEnd"/>
      <w:r w:rsidRPr="00A815B9">
        <w:rPr>
          <w:rFonts w:ascii="Tahoma" w:hAnsi="Tahoma" w:cs="Tahoma"/>
        </w:rPr>
        <w:t xml:space="preserve">, </w:t>
      </w:r>
      <w:proofErr w:type="spellStart"/>
      <w:r w:rsidRPr="00A815B9">
        <w:rPr>
          <w:rFonts w:ascii="Tahoma" w:hAnsi="Tahoma" w:cs="Tahoma"/>
        </w:rPr>
        <w:t>Garaboureya</w:t>
      </w:r>
      <w:proofErr w:type="spellEnd"/>
      <w:r w:rsidRPr="00A815B9">
        <w:rPr>
          <w:rFonts w:ascii="Tahoma" w:hAnsi="Tahoma" w:cs="Tahoma"/>
        </w:rPr>
        <w:t xml:space="preserve"> Sud, </w:t>
      </w:r>
      <w:proofErr w:type="spellStart"/>
      <w:r w:rsidRPr="00A815B9">
        <w:rPr>
          <w:rFonts w:ascii="Tahoma" w:hAnsi="Tahoma" w:cs="Tahoma"/>
        </w:rPr>
        <w:t>Bondala</w:t>
      </w:r>
      <w:proofErr w:type="spellEnd"/>
      <w:r w:rsidRPr="00A815B9">
        <w:rPr>
          <w:rFonts w:ascii="Tahoma" w:hAnsi="Tahoma" w:cs="Tahoma"/>
        </w:rPr>
        <w:t>), en dotant les DREPM d'équipements de mesure certifiés.</w:t>
      </w:r>
    </w:p>
    <w:p w14:paraId="72C2897B"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 xml:space="preserve">Déployer un registre numérique de collecte des déclarations trimestrielles des titulaires de titres AMSM, accessible en ligne et interopérable avec la plateforme </w:t>
      </w:r>
      <w:proofErr w:type="spellStart"/>
      <w:r w:rsidRPr="00A815B9">
        <w:rPr>
          <w:rFonts w:ascii="Tahoma" w:hAnsi="Tahoma" w:cs="Tahoma"/>
        </w:rPr>
        <w:t>Landfolio</w:t>
      </w:r>
      <w:proofErr w:type="spellEnd"/>
      <w:r w:rsidRPr="00A815B9">
        <w:rPr>
          <w:rFonts w:ascii="Tahoma" w:hAnsi="Tahoma" w:cs="Tahoma"/>
        </w:rPr>
        <w:t>.</w:t>
      </w:r>
    </w:p>
    <w:p w14:paraId="2C211AA3"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 xml:space="preserve">Initier des campagnes de sensibilisation et d'accompagnement des </w:t>
      </w:r>
      <w:r>
        <w:rPr>
          <w:rFonts w:ascii="Tahoma" w:hAnsi="Tahoma" w:cs="Tahoma"/>
        </w:rPr>
        <w:t>exploitants</w:t>
      </w:r>
      <w:r w:rsidRPr="00A815B9">
        <w:rPr>
          <w:rFonts w:ascii="Tahoma" w:hAnsi="Tahoma" w:cs="Tahoma"/>
        </w:rPr>
        <w:t xml:space="preserve"> non déclarants sur leurs obligations légales en vertu de l'article 107 du décret n° 2017-459.</w:t>
      </w:r>
    </w:p>
    <w:p w14:paraId="0D07A8DF"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Déployer un système de traçabilité de l'or artisanal depuis les sites de production (étiquetage, bons de pesée) jusqu'aux comptoirs d'achat, en s'inspirant des expériences de République Démocratique du Congo (</w:t>
      </w:r>
      <w:proofErr w:type="spellStart"/>
      <w:r w:rsidRPr="00A815B9">
        <w:rPr>
          <w:rFonts w:ascii="Tahoma" w:hAnsi="Tahoma" w:cs="Tahoma"/>
        </w:rPr>
        <w:t>iTSCi</w:t>
      </w:r>
      <w:proofErr w:type="spellEnd"/>
      <w:r w:rsidRPr="00A815B9">
        <w:rPr>
          <w:rFonts w:ascii="Tahoma" w:hAnsi="Tahoma" w:cs="Tahoma"/>
        </w:rPr>
        <w:t>, CTC) et du Rwanda.</w:t>
      </w:r>
    </w:p>
    <w:p w14:paraId="79E63BB0" w14:textId="77777777" w:rsidR="008E608A" w:rsidRPr="00A815B9" w:rsidRDefault="008E608A" w:rsidP="008E608A">
      <w:pPr>
        <w:pStyle w:val="Titre2"/>
        <w:spacing w:after="80" w:line="276" w:lineRule="auto"/>
        <w:jc w:val="both"/>
        <w:rPr>
          <w:rFonts w:ascii="Tahoma" w:hAnsi="Tahoma" w:cs="Tahoma"/>
        </w:rPr>
      </w:pPr>
      <w:bookmarkStart w:id="32" w:name="_Toc230168254"/>
      <w:r w:rsidRPr="00A815B9">
        <w:rPr>
          <w:rFonts w:ascii="Tahoma" w:hAnsi="Tahoma" w:cs="Tahoma"/>
        </w:rPr>
        <w:t>Renforcement du cadre de réconciliation ITIE</w:t>
      </w:r>
      <w:bookmarkEnd w:id="32"/>
    </w:p>
    <w:p w14:paraId="108CD67C"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 xml:space="preserve">Intégrer une section dédiée à l'EMAPE dans le rapport annuel de réconciliation ITIE, avec triangulation systématique UN </w:t>
      </w:r>
      <w:proofErr w:type="spellStart"/>
      <w:r w:rsidRPr="00A815B9">
        <w:rPr>
          <w:rFonts w:ascii="Tahoma" w:hAnsi="Tahoma" w:cs="Tahoma"/>
        </w:rPr>
        <w:t>Comtrade</w:t>
      </w:r>
      <w:proofErr w:type="spellEnd"/>
      <w:r w:rsidRPr="00A815B9">
        <w:rPr>
          <w:rFonts w:ascii="Tahoma" w:hAnsi="Tahoma" w:cs="Tahoma"/>
        </w:rPr>
        <w:t xml:space="preserve"> / ITIE / données DGMG.</w:t>
      </w:r>
    </w:p>
    <w:p w14:paraId="060D1D28"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Solliciter la publication de l'étude monographique ANSD (initiée en 2023) sur la contribution de l'EMAPE à l'économie nationale, en vue d'une mise à jour des références statistiques nationales.</w:t>
      </w:r>
    </w:p>
    <w:p w14:paraId="40242D4C" w14:textId="77777777" w:rsidR="008E608A" w:rsidRPr="00A815B9" w:rsidRDefault="008E608A" w:rsidP="008E608A">
      <w:pPr>
        <w:pStyle w:val="Titre2"/>
        <w:spacing w:after="80" w:line="276" w:lineRule="auto"/>
        <w:jc w:val="both"/>
        <w:rPr>
          <w:rFonts w:ascii="Tahoma" w:hAnsi="Tahoma" w:cs="Tahoma"/>
        </w:rPr>
      </w:pPr>
      <w:bookmarkStart w:id="33" w:name="_Toc230168255"/>
      <w:r w:rsidRPr="00A815B9">
        <w:rPr>
          <w:rFonts w:ascii="Tahoma" w:hAnsi="Tahoma" w:cs="Tahoma"/>
        </w:rPr>
        <w:t>Réforme institutionnelle et coordination inter-administrations</w:t>
      </w:r>
      <w:bookmarkEnd w:id="33"/>
    </w:p>
    <w:p w14:paraId="46EA8511"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Créer un comité technique de coordination inter-administrations sur les données EMAPE, réunissant DGMG, D</w:t>
      </w:r>
      <w:r>
        <w:rPr>
          <w:rFonts w:ascii="Tahoma" w:hAnsi="Tahoma" w:cs="Tahoma"/>
        </w:rPr>
        <w:t>G</w:t>
      </w:r>
      <w:r w:rsidRPr="00A815B9">
        <w:rPr>
          <w:rFonts w:ascii="Tahoma" w:hAnsi="Tahoma" w:cs="Tahoma"/>
        </w:rPr>
        <w:t>CSO, DGD, Direction de la Monnaie et du Crédit, ANSD et CN-ITIE, avec un mandat formel de centralisation et de publication trimestrielle.</w:t>
      </w:r>
    </w:p>
    <w:p w14:paraId="2DFFA974"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 xml:space="preserve">Mettre en place un guichet unique d'exportation de l'or artisanal, regroupant douanes </w:t>
      </w:r>
      <w:r>
        <w:rPr>
          <w:rFonts w:ascii="Tahoma" w:hAnsi="Tahoma" w:cs="Tahoma"/>
        </w:rPr>
        <w:t xml:space="preserve">et </w:t>
      </w:r>
      <w:r w:rsidRPr="00A815B9">
        <w:rPr>
          <w:rFonts w:ascii="Tahoma" w:hAnsi="Tahoma" w:cs="Tahoma"/>
        </w:rPr>
        <w:t>administration des mines.</w:t>
      </w:r>
    </w:p>
    <w:p w14:paraId="44149D88" w14:textId="77777777" w:rsidR="008E608A" w:rsidRPr="00A815B9" w:rsidRDefault="008E608A" w:rsidP="008E608A">
      <w:pPr>
        <w:pStyle w:val="Titre2"/>
        <w:spacing w:after="80" w:line="276" w:lineRule="auto"/>
        <w:jc w:val="both"/>
        <w:rPr>
          <w:rFonts w:ascii="Tahoma" w:hAnsi="Tahoma" w:cs="Tahoma"/>
        </w:rPr>
      </w:pPr>
      <w:bookmarkStart w:id="34" w:name="_Toc230168256"/>
      <w:r w:rsidRPr="00A815B9">
        <w:rPr>
          <w:rFonts w:ascii="Tahoma" w:hAnsi="Tahoma" w:cs="Tahoma"/>
        </w:rPr>
        <w:t>Amélioration des statistiques douanières</w:t>
      </w:r>
      <w:bookmarkEnd w:id="34"/>
    </w:p>
    <w:p w14:paraId="65EC54CD"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Introduire une distinction douanière entre l'or EMAPE</w:t>
      </w:r>
      <w:r>
        <w:rPr>
          <w:rFonts w:ascii="Tahoma" w:hAnsi="Tahoma" w:cs="Tahoma"/>
        </w:rPr>
        <w:t>, l’or recyclé</w:t>
      </w:r>
      <w:r w:rsidRPr="00A815B9">
        <w:rPr>
          <w:rFonts w:ascii="Tahoma" w:hAnsi="Tahoma" w:cs="Tahoma"/>
        </w:rPr>
        <w:t xml:space="preserve"> et l'or industriel dans les déclarations d'exportation, via un code de nomenclature interne</w:t>
      </w:r>
      <w:r>
        <w:rPr>
          <w:rFonts w:ascii="Tahoma" w:hAnsi="Tahoma" w:cs="Tahoma"/>
        </w:rPr>
        <w:t> ;</w:t>
      </w:r>
    </w:p>
    <w:p w14:paraId="367E39FA"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Renforcer les capacités des agents douaniers de l'aéroport de Dakar et des postes-frontières terrestres sur la détection et la quantification de l'or artisanal.</w:t>
      </w:r>
    </w:p>
    <w:p w14:paraId="23830F2D" w14:textId="77777777" w:rsidR="008E608A" w:rsidRPr="00A815B9" w:rsidRDefault="008E608A" w:rsidP="008E608A">
      <w:pPr>
        <w:pStyle w:val="Titre2"/>
        <w:spacing w:after="80" w:line="276" w:lineRule="auto"/>
        <w:jc w:val="both"/>
        <w:rPr>
          <w:rFonts w:ascii="Tahoma" w:hAnsi="Tahoma" w:cs="Tahoma"/>
        </w:rPr>
      </w:pPr>
      <w:bookmarkStart w:id="35" w:name="_Toc230168257"/>
      <w:r w:rsidRPr="00A815B9">
        <w:rPr>
          <w:rFonts w:ascii="Tahoma" w:hAnsi="Tahoma" w:cs="Tahoma"/>
        </w:rPr>
        <w:t>Renforcement de la transparence et de la publication</w:t>
      </w:r>
      <w:bookmarkEnd w:id="35"/>
    </w:p>
    <w:p w14:paraId="75EA05A4"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Créer un tableau de bord public et trimestriel des indicateurs clés du sous-secteur EMAPE (production déclarée, exportations, recettes fiscales, titres actifs)</w:t>
      </w:r>
      <w:r>
        <w:rPr>
          <w:rFonts w:ascii="Tahoma" w:hAnsi="Tahoma" w:cs="Tahoma"/>
        </w:rPr>
        <w:t> ;</w:t>
      </w:r>
    </w:p>
    <w:p w14:paraId="2DE74BAE"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t xml:space="preserve">Mettre en place une procédure d'analyse annuelle de réconciliation statistique UN </w:t>
      </w:r>
      <w:proofErr w:type="spellStart"/>
      <w:r w:rsidRPr="00A815B9">
        <w:rPr>
          <w:rFonts w:ascii="Tahoma" w:hAnsi="Tahoma" w:cs="Tahoma"/>
        </w:rPr>
        <w:t>Comtrade</w:t>
      </w:r>
      <w:proofErr w:type="spellEnd"/>
      <w:r w:rsidRPr="00A815B9">
        <w:rPr>
          <w:rFonts w:ascii="Tahoma" w:hAnsi="Tahoma" w:cs="Tahoma"/>
        </w:rPr>
        <w:t xml:space="preserve"> / ITIE, publiée dans le rapport ITIE.</w:t>
      </w:r>
    </w:p>
    <w:p w14:paraId="1D4F29A8" w14:textId="77777777" w:rsidR="008E608A" w:rsidRPr="00A815B9" w:rsidRDefault="008E608A" w:rsidP="008E608A">
      <w:pPr>
        <w:pStyle w:val="Paragraphedeliste"/>
        <w:numPr>
          <w:ilvl w:val="0"/>
          <w:numId w:val="2"/>
        </w:numPr>
        <w:spacing w:after="80" w:line="276" w:lineRule="auto"/>
        <w:jc w:val="both"/>
        <w:rPr>
          <w:rFonts w:ascii="Tahoma" w:hAnsi="Tahoma" w:cs="Tahoma"/>
        </w:rPr>
      </w:pPr>
      <w:r w:rsidRPr="00A815B9">
        <w:rPr>
          <w:rFonts w:ascii="Tahoma" w:hAnsi="Tahoma" w:cs="Tahoma"/>
        </w:rPr>
        <w:lastRenderedPageBreak/>
        <w:t>Développer des protocoles de collecte de données simplifiés en langues locales, adaptés aux capacités des orpailleurs et des petits comptoirs dans les régions de Kédougou et Tambacounda.</w:t>
      </w:r>
    </w:p>
    <w:p w14:paraId="00FDC489" w14:textId="77777777" w:rsidR="008E608A" w:rsidRPr="00A815B9" w:rsidRDefault="008E608A" w:rsidP="008E608A">
      <w:pPr>
        <w:spacing w:after="80" w:line="276" w:lineRule="auto"/>
        <w:jc w:val="both"/>
        <w:rPr>
          <w:rFonts w:ascii="Tahoma" w:hAnsi="Tahoma" w:cs="Tahoma"/>
        </w:rPr>
      </w:pPr>
      <w:r w:rsidRPr="00A815B9">
        <w:rPr>
          <w:rFonts w:ascii="Tahoma" w:hAnsi="Tahoma" w:cs="Tahoma"/>
        </w:rPr>
        <w:br w:type="page"/>
      </w:r>
    </w:p>
    <w:p w14:paraId="22697F95" w14:textId="77777777" w:rsidR="008E608A" w:rsidRPr="00A815B9" w:rsidRDefault="008E608A" w:rsidP="008E608A">
      <w:pPr>
        <w:pStyle w:val="Titre1"/>
        <w:spacing w:after="80" w:line="276" w:lineRule="auto"/>
        <w:jc w:val="both"/>
        <w:rPr>
          <w:rFonts w:ascii="Tahoma" w:hAnsi="Tahoma" w:cs="Tahoma"/>
        </w:rPr>
      </w:pPr>
      <w:bookmarkStart w:id="36" w:name="_Toc230168258"/>
      <w:r w:rsidRPr="00A815B9">
        <w:rPr>
          <w:rFonts w:ascii="Tahoma" w:hAnsi="Tahoma" w:cs="Tahoma"/>
        </w:rPr>
        <w:lastRenderedPageBreak/>
        <w:t>Conclusion</w:t>
      </w:r>
      <w:bookmarkEnd w:id="36"/>
    </w:p>
    <w:p w14:paraId="4450395E"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Le présent rapport a démontré que les défis liés aux données de l'EMAPE sénégalais sont profondément structurels et ne peuvent être traités par des mesures ponctuelles. La combinaison d'une informalité dominante, d'une fragmentation institutionnelle, d'une faible traçabilité, de comptoirs défaillants et d'un transit malien massif crée un système où la production et les exportations réelles d'or artisanal demeurent largement hors de portée des statistiques officielles.</w:t>
      </w:r>
    </w:p>
    <w:p w14:paraId="54B5A001"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 xml:space="preserve">L'analyse des données UN </w:t>
      </w:r>
      <w:proofErr w:type="spellStart"/>
      <w:r w:rsidRPr="00A815B9">
        <w:rPr>
          <w:rFonts w:ascii="Tahoma" w:hAnsi="Tahoma" w:cs="Tahoma"/>
          <w:color w:val="000000"/>
        </w:rPr>
        <w:t>Comtrade</w:t>
      </w:r>
      <w:proofErr w:type="spellEnd"/>
      <w:r w:rsidRPr="00A815B9">
        <w:rPr>
          <w:rFonts w:ascii="Tahoma" w:hAnsi="Tahoma" w:cs="Tahoma"/>
          <w:color w:val="000000"/>
        </w:rPr>
        <w:t xml:space="preserve"> révèle un écart cumulé de 25,4 tonnes entre les importations déclarées par les pays partenaires et les exportations déclarées par le Sénégal sur 2020</w:t>
      </w:r>
      <w:r>
        <w:rPr>
          <w:rFonts w:ascii="Tahoma" w:hAnsi="Tahoma" w:cs="Tahoma"/>
          <w:color w:val="000000"/>
        </w:rPr>
        <w:t>-</w:t>
      </w:r>
      <w:r w:rsidRPr="00A815B9">
        <w:rPr>
          <w:rFonts w:ascii="Tahoma" w:hAnsi="Tahoma" w:cs="Tahoma"/>
          <w:color w:val="000000"/>
        </w:rPr>
        <w:t>2024. Bien que ce taux ait sensiblement diminué (de 50,4 % en 2020 à 4,6 % en 2024), la contraction simultanée des volumes déclarés soulève des interrogations légitimes sur la réalité de cette convergence statistique.</w:t>
      </w:r>
    </w:p>
    <w:p w14:paraId="56C82838" w14:textId="77777777" w:rsidR="008E608A" w:rsidRDefault="008E608A" w:rsidP="008E608A">
      <w:pPr>
        <w:spacing w:after="80" w:line="276" w:lineRule="auto"/>
        <w:jc w:val="both"/>
        <w:rPr>
          <w:rFonts w:ascii="Tahoma" w:hAnsi="Tahoma" w:cs="Tahoma"/>
          <w:color w:val="000000"/>
        </w:rPr>
      </w:pPr>
      <w:r w:rsidRPr="00A815B9">
        <w:rPr>
          <w:rFonts w:ascii="Tahoma" w:hAnsi="Tahoma" w:cs="Tahoma"/>
          <w:color w:val="000000"/>
        </w:rPr>
        <w:t>La confrontation avec les données de production déclarées par les titulaires AMSM (62</w:t>
      </w:r>
      <w:r>
        <w:rPr>
          <w:rFonts w:ascii="Tahoma" w:hAnsi="Tahoma" w:cs="Tahoma"/>
          <w:color w:val="000000"/>
        </w:rPr>
        <w:t>-</w:t>
      </w:r>
      <w:r w:rsidRPr="00A815B9">
        <w:rPr>
          <w:rFonts w:ascii="Tahoma" w:hAnsi="Tahoma" w:cs="Tahoma"/>
          <w:color w:val="000000"/>
        </w:rPr>
        <w:t>88 kg par an pour 12 entreprises sur 96 actives) révèle l'ampleur de l'angle mort statistique : la production déclarée représente moins de 2 % de la référence EMOR 2017.</w:t>
      </w:r>
    </w:p>
    <w:p w14:paraId="57BBCEB9" w14:textId="77777777" w:rsidR="008E608A" w:rsidRPr="00A815B9" w:rsidRDefault="008E608A" w:rsidP="008E608A">
      <w:pPr>
        <w:spacing w:after="80" w:line="276" w:lineRule="auto"/>
        <w:jc w:val="both"/>
        <w:rPr>
          <w:rFonts w:ascii="Tahoma" w:hAnsi="Tahoma" w:cs="Tahoma"/>
        </w:rPr>
      </w:pPr>
      <w:r w:rsidRPr="00264F45">
        <w:rPr>
          <w:rFonts w:ascii="Tahoma" w:hAnsi="Tahoma" w:cs="Tahoma"/>
        </w:rPr>
        <w:t xml:space="preserve">La conformité aux exigences de la Norme ITIE 2023 (Exigence 6.3) et l'accès durable aux marchés </w:t>
      </w:r>
      <w:proofErr w:type="gramStart"/>
      <w:r w:rsidRPr="00264F45">
        <w:rPr>
          <w:rFonts w:ascii="Tahoma" w:hAnsi="Tahoma" w:cs="Tahoma"/>
        </w:rPr>
        <w:t>européens</w:t>
      </w:r>
      <w:proofErr w:type="gramEnd"/>
      <w:r w:rsidRPr="00264F45">
        <w:rPr>
          <w:rFonts w:ascii="Tahoma" w:hAnsi="Tahoma" w:cs="Tahoma"/>
        </w:rPr>
        <w:t xml:space="preserve"> réglementés par le Règlement sur les Minerais Responsables constituent des leviers externes qui renforcent l'impératif de réforme du dispositif de collecte et de publication des données EMAPE au Sénégal.</w:t>
      </w:r>
    </w:p>
    <w:p w14:paraId="5AF67C00" w14:textId="77777777" w:rsidR="008E608A" w:rsidRPr="00A815B9" w:rsidRDefault="008E608A" w:rsidP="008E608A">
      <w:pPr>
        <w:spacing w:after="80" w:line="276" w:lineRule="auto"/>
        <w:jc w:val="both"/>
        <w:rPr>
          <w:rFonts w:ascii="Tahoma" w:hAnsi="Tahoma" w:cs="Tahoma"/>
        </w:rPr>
      </w:pPr>
      <w:r w:rsidRPr="00A815B9">
        <w:rPr>
          <w:rFonts w:ascii="Tahoma" w:hAnsi="Tahoma" w:cs="Tahoma"/>
          <w:color w:val="000000"/>
        </w:rPr>
        <w:t>La mise en œuvre des recommandations formulées dans ce rapport nécessite une volonté politique soutenue, des ressources adéquates et une coopération interministérielle que le CN-ITIE est bien positionné pour catalyser. Le renforcement de la transparence des données EMAPE constitue non seulement une obligation au regard des standards internationaux, mais également une condition nécessaire à la mobilisation optimale des recettes publiques issues du secteur aurifère artisanal sénégalais.</w:t>
      </w:r>
    </w:p>
    <w:p w14:paraId="5D5DCDD9" w14:textId="77777777" w:rsidR="008E608A" w:rsidRDefault="008E608A"/>
    <w:sectPr w:rsidR="008E608A">
      <w:headerReference w:type="default" r:id="rId8"/>
      <w:footerReference w:type="default" r:id="rId9"/>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72CE3" w14:textId="77777777" w:rsidR="00B856F9" w:rsidRDefault="00B856F9" w:rsidP="008E608A">
      <w:r>
        <w:separator/>
      </w:r>
    </w:p>
  </w:endnote>
  <w:endnote w:type="continuationSeparator" w:id="0">
    <w:p w14:paraId="0732441B" w14:textId="77777777" w:rsidR="00B856F9" w:rsidRDefault="00B856F9" w:rsidP="008E6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AF180" w14:textId="77777777" w:rsidR="00E60754" w:rsidRDefault="00000000" w:rsidP="0017269E">
    <w:pPr>
      <w:pBdr>
        <w:top w:val="single" w:sz="4" w:space="1" w:color="1C3A5C"/>
      </w:pBdr>
      <w:spacing w:before="60"/>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Pr>
        <w:noProof/>
        <w:color w:val="666666"/>
        <w:sz w:val="17"/>
        <w:szCs w:val="17"/>
      </w:rPr>
      <w:t>1</w:t>
    </w:r>
    <w:r>
      <w:rPr>
        <w:color w:val="666666"/>
        <w:sz w:val="17"/>
        <w:szCs w:val="17"/>
      </w:rPr>
      <w:fldChar w:fldCharType="end"/>
    </w:r>
    <w:r>
      <w:rPr>
        <w:color w:val="666666"/>
        <w:sz w:val="17"/>
        <w:szCs w:val="17"/>
      </w:rPr>
      <w:t xml:space="preserve"> / </w:t>
    </w:r>
    <w:r>
      <w:rPr>
        <w:color w:val="666666"/>
        <w:sz w:val="17"/>
        <w:szCs w:val="17"/>
      </w:rPr>
      <w:fldChar w:fldCharType="begin"/>
    </w:r>
    <w:r>
      <w:rPr>
        <w:color w:val="666666"/>
        <w:sz w:val="17"/>
        <w:szCs w:val="17"/>
      </w:rPr>
      <w:instrText>NUMPAGES</w:instrText>
    </w:r>
    <w:r>
      <w:rPr>
        <w:color w:val="666666"/>
        <w:sz w:val="17"/>
        <w:szCs w:val="17"/>
      </w:rPr>
      <w:fldChar w:fldCharType="separate"/>
    </w:r>
    <w:r>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5B607" w14:textId="77777777" w:rsidR="00B856F9" w:rsidRDefault="00B856F9" w:rsidP="008E608A">
      <w:r>
        <w:separator/>
      </w:r>
    </w:p>
  </w:footnote>
  <w:footnote w:type="continuationSeparator" w:id="0">
    <w:p w14:paraId="5D7A03D0" w14:textId="77777777" w:rsidR="00B856F9" w:rsidRDefault="00B856F9" w:rsidP="008E608A">
      <w:r>
        <w:continuationSeparator/>
      </w:r>
    </w:p>
  </w:footnote>
  <w:footnote w:id="1">
    <w:p w14:paraId="065DEC23" w14:textId="77777777" w:rsidR="008E608A" w:rsidRPr="00824948" w:rsidRDefault="008E608A" w:rsidP="008E608A">
      <w:pPr>
        <w:pStyle w:val="Notedebasdepage"/>
        <w:rPr>
          <w:rFonts w:ascii="Tahoma" w:hAnsi="Tahoma" w:cs="Tahoma"/>
        </w:rPr>
      </w:pPr>
      <w:r w:rsidRPr="00824948">
        <w:rPr>
          <w:rStyle w:val="Appelnotedebasdep"/>
          <w:rFonts w:ascii="Tahoma" w:hAnsi="Tahoma" w:cs="Tahoma"/>
          <w:sz w:val="18"/>
          <w:szCs w:val="18"/>
        </w:rPr>
        <w:footnoteRef/>
      </w:r>
      <w:r w:rsidRPr="00824948">
        <w:rPr>
          <w:rFonts w:ascii="Tahoma" w:hAnsi="Tahoma" w:cs="Tahoma"/>
          <w:sz w:val="18"/>
          <w:szCs w:val="18"/>
        </w:rPr>
        <w:t xml:space="preserve"> https://comtradeplus.un.org/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8BDD9" w14:textId="77777777" w:rsidR="00E60754" w:rsidRPr="0096146B" w:rsidRDefault="00000000" w:rsidP="0096146B">
    <w:pPr>
      <w:spacing w:after="80"/>
      <w:jc w:val="right"/>
      <w:rPr>
        <w:i/>
        <w:iCs/>
        <w:color w:val="AEAAAA" w:themeColor="background2" w:themeShade="BF"/>
        <w:sz w:val="18"/>
        <w:szCs w:val="18"/>
      </w:rPr>
    </w:pPr>
    <w:r w:rsidRPr="0096146B">
      <w:rPr>
        <w:i/>
        <w:iCs/>
        <w:color w:val="AEAAAA" w:themeColor="background2" w:themeShade="BF"/>
        <w:sz w:val="18"/>
        <w:szCs w:val="18"/>
      </w:rPr>
      <w:t>Rapport analytique</w:t>
    </w:r>
    <w:r w:rsidRPr="0096146B">
      <w:rPr>
        <w:i/>
        <w:iCs/>
        <w:color w:val="AEAAAA" w:themeColor="background2" w:themeShade="BF"/>
        <w:sz w:val="18"/>
        <w:szCs w:val="18"/>
      </w:rPr>
      <w:t> </w:t>
    </w:r>
    <w:r w:rsidRPr="0096146B">
      <w:rPr>
        <w:i/>
        <w:iCs/>
        <w:color w:val="AEAAAA" w:themeColor="background2" w:themeShade="BF"/>
        <w:sz w:val="18"/>
        <w:szCs w:val="18"/>
      </w:rPr>
      <w:t>:</w:t>
    </w:r>
    <w:r w:rsidRPr="0096146B">
      <w:rPr>
        <w:i/>
        <w:iCs/>
        <w:color w:val="AEAAAA" w:themeColor="background2" w:themeShade="BF"/>
        <w:sz w:val="18"/>
        <w:szCs w:val="18"/>
      </w:rPr>
      <w:t xml:space="preserve"> EMAPE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E3700"/>
    <w:multiLevelType w:val="hybridMultilevel"/>
    <w:tmpl w:val="8ABE09C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2BEB17C0"/>
    <w:multiLevelType w:val="hybridMultilevel"/>
    <w:tmpl w:val="9440DE3C"/>
    <w:lvl w:ilvl="0" w:tplc="62B67748">
      <w:start w:val="1"/>
      <w:numFmt w:val="bullet"/>
      <w:lvlText w:val="●"/>
      <w:lvlJc w:val="left"/>
      <w:pPr>
        <w:ind w:left="720" w:hanging="360"/>
      </w:pPr>
    </w:lvl>
    <w:lvl w:ilvl="1" w:tplc="6EFE70CA">
      <w:start w:val="1"/>
      <w:numFmt w:val="bullet"/>
      <w:lvlText w:val="○"/>
      <w:lvlJc w:val="left"/>
      <w:pPr>
        <w:ind w:left="1440" w:hanging="360"/>
      </w:pPr>
    </w:lvl>
    <w:lvl w:ilvl="2" w:tplc="533462D0">
      <w:start w:val="1"/>
      <w:numFmt w:val="bullet"/>
      <w:lvlText w:val="■"/>
      <w:lvlJc w:val="left"/>
      <w:pPr>
        <w:ind w:left="2160" w:hanging="360"/>
      </w:pPr>
    </w:lvl>
    <w:lvl w:ilvl="3" w:tplc="31B43FE2">
      <w:start w:val="1"/>
      <w:numFmt w:val="bullet"/>
      <w:lvlText w:val="●"/>
      <w:lvlJc w:val="left"/>
      <w:pPr>
        <w:ind w:left="2880" w:hanging="360"/>
      </w:pPr>
    </w:lvl>
    <w:lvl w:ilvl="4" w:tplc="1E807446">
      <w:start w:val="1"/>
      <w:numFmt w:val="bullet"/>
      <w:lvlText w:val="○"/>
      <w:lvlJc w:val="left"/>
      <w:pPr>
        <w:ind w:left="3600" w:hanging="360"/>
      </w:pPr>
    </w:lvl>
    <w:lvl w:ilvl="5" w:tplc="14707EE8">
      <w:start w:val="1"/>
      <w:numFmt w:val="bullet"/>
      <w:lvlText w:val="■"/>
      <w:lvlJc w:val="left"/>
      <w:pPr>
        <w:ind w:left="4320" w:hanging="360"/>
      </w:pPr>
    </w:lvl>
    <w:lvl w:ilvl="6" w:tplc="0F16464A">
      <w:start w:val="1"/>
      <w:numFmt w:val="bullet"/>
      <w:lvlText w:val="●"/>
      <w:lvlJc w:val="left"/>
      <w:pPr>
        <w:ind w:left="5040" w:hanging="360"/>
      </w:pPr>
    </w:lvl>
    <w:lvl w:ilvl="7" w:tplc="E0269530">
      <w:start w:val="1"/>
      <w:numFmt w:val="bullet"/>
      <w:lvlText w:val="●"/>
      <w:lvlJc w:val="left"/>
      <w:pPr>
        <w:ind w:left="5760" w:hanging="360"/>
      </w:pPr>
    </w:lvl>
    <w:lvl w:ilvl="8" w:tplc="F6F84AD4">
      <w:start w:val="1"/>
      <w:numFmt w:val="bullet"/>
      <w:lvlText w:val="●"/>
      <w:lvlJc w:val="left"/>
      <w:pPr>
        <w:ind w:left="6480" w:hanging="360"/>
      </w:pPr>
    </w:lvl>
  </w:abstractNum>
  <w:abstractNum w:abstractNumId="2" w15:restartNumberingAfterBreak="0">
    <w:nsid w:val="631B603C"/>
    <w:multiLevelType w:val="hybridMultilevel"/>
    <w:tmpl w:val="A95A701E"/>
    <w:lvl w:ilvl="0" w:tplc="C50045A2">
      <w:start w:val="7"/>
      <w:numFmt w:val="bullet"/>
      <w:lvlText w:val="-"/>
      <w:lvlJc w:val="left"/>
      <w:pPr>
        <w:ind w:left="720" w:hanging="360"/>
      </w:pPr>
      <w:rPr>
        <w:rFonts w:ascii="Tahoma" w:eastAsia="Calibr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4061072"/>
    <w:multiLevelType w:val="hybridMultilevel"/>
    <w:tmpl w:val="1EC0FB16"/>
    <w:lvl w:ilvl="0" w:tplc="148487F8">
      <w:start w:val="1"/>
      <w:numFmt w:val="bullet"/>
      <w:lvlText w:val="•"/>
      <w:lvlJc w:val="left"/>
      <w:pPr>
        <w:ind w:left="720" w:hanging="360"/>
      </w:pPr>
    </w:lvl>
    <w:lvl w:ilvl="1" w:tplc="C35A0C08">
      <w:start w:val="1"/>
      <w:numFmt w:val="bullet"/>
      <w:lvlText w:val="◦"/>
      <w:lvlJc w:val="left"/>
      <w:pPr>
        <w:ind w:left="1080" w:hanging="360"/>
      </w:pPr>
    </w:lvl>
    <w:lvl w:ilvl="2" w:tplc="D294317A">
      <w:start w:val="1"/>
      <w:numFmt w:val="bullet"/>
      <w:lvlText w:val="▪"/>
      <w:lvlJc w:val="left"/>
      <w:pPr>
        <w:ind w:left="1440" w:hanging="360"/>
      </w:pPr>
    </w:lvl>
    <w:lvl w:ilvl="3" w:tplc="9616650E">
      <w:numFmt w:val="decimal"/>
      <w:lvlText w:val=""/>
      <w:lvlJc w:val="left"/>
    </w:lvl>
    <w:lvl w:ilvl="4" w:tplc="56D47C58">
      <w:numFmt w:val="decimal"/>
      <w:lvlText w:val=""/>
      <w:lvlJc w:val="left"/>
    </w:lvl>
    <w:lvl w:ilvl="5" w:tplc="A6CEC1D0">
      <w:numFmt w:val="decimal"/>
      <w:lvlText w:val=""/>
      <w:lvlJc w:val="left"/>
    </w:lvl>
    <w:lvl w:ilvl="6" w:tplc="FC1AF864">
      <w:numFmt w:val="decimal"/>
      <w:lvlText w:val=""/>
      <w:lvlJc w:val="left"/>
    </w:lvl>
    <w:lvl w:ilvl="7" w:tplc="C4486F84">
      <w:numFmt w:val="decimal"/>
      <w:lvlText w:val=""/>
      <w:lvlJc w:val="left"/>
    </w:lvl>
    <w:lvl w:ilvl="8" w:tplc="987C42F0">
      <w:numFmt w:val="decimal"/>
      <w:lvlText w:val=""/>
      <w:lvlJc w:val="left"/>
    </w:lvl>
  </w:abstractNum>
  <w:num w:numId="1" w16cid:durableId="727075628">
    <w:abstractNumId w:val="1"/>
    <w:lvlOverride w:ilvl="0">
      <w:startOverride w:val="1"/>
    </w:lvlOverride>
  </w:num>
  <w:num w:numId="2" w16cid:durableId="623584451">
    <w:abstractNumId w:val="3"/>
    <w:lvlOverride w:ilvl="0">
      <w:startOverride w:val="1"/>
    </w:lvlOverride>
  </w:num>
  <w:num w:numId="3" w16cid:durableId="579415429">
    <w:abstractNumId w:val="0"/>
  </w:num>
  <w:num w:numId="4" w16cid:durableId="1916695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8A"/>
    <w:rsid w:val="008E608A"/>
    <w:rsid w:val="00B856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C2BC"/>
  <w15:chartTrackingRefBased/>
  <w15:docId w15:val="{E607B6BA-D697-4210-ACC2-A191ADD0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08A"/>
    <w:pPr>
      <w:spacing w:after="0" w:line="240" w:lineRule="auto"/>
    </w:pPr>
    <w:rPr>
      <w:rFonts w:ascii="Calibri" w:eastAsia="Calibri" w:hAnsi="Calibri" w:cs="Calibri"/>
      <w:lang w:eastAsia="fr-FR"/>
    </w:rPr>
  </w:style>
  <w:style w:type="paragraph" w:styleId="Titre1">
    <w:name w:val="heading 1"/>
    <w:link w:val="Titre1Car"/>
    <w:uiPriority w:val="9"/>
    <w:qFormat/>
    <w:rsid w:val="008E608A"/>
    <w:pPr>
      <w:pBdr>
        <w:bottom w:val="single" w:sz="8" w:space="2" w:color="1C3A5C"/>
      </w:pBdr>
      <w:spacing w:before="400" w:after="200" w:line="240" w:lineRule="auto"/>
      <w:outlineLvl w:val="0"/>
    </w:pPr>
    <w:rPr>
      <w:rFonts w:ascii="Calibri" w:eastAsia="Calibri" w:hAnsi="Calibri" w:cs="Calibri"/>
      <w:b/>
      <w:bCs/>
      <w:color w:val="1C3A5C"/>
      <w:sz w:val="34"/>
      <w:szCs w:val="34"/>
      <w:lang w:eastAsia="fr-FR"/>
    </w:rPr>
  </w:style>
  <w:style w:type="paragraph" w:styleId="Titre2">
    <w:name w:val="heading 2"/>
    <w:link w:val="Titre2Car"/>
    <w:uiPriority w:val="9"/>
    <w:unhideWhenUsed/>
    <w:qFormat/>
    <w:rsid w:val="008E608A"/>
    <w:pPr>
      <w:pBdr>
        <w:bottom w:val="single" w:sz="4" w:space="1" w:color="1C6EA4"/>
      </w:pBdr>
      <w:spacing w:before="280" w:after="120" w:line="240" w:lineRule="auto"/>
      <w:outlineLvl w:val="1"/>
    </w:pPr>
    <w:rPr>
      <w:rFonts w:ascii="Calibri" w:eastAsia="Calibri" w:hAnsi="Calibri" w:cs="Calibri"/>
      <w:b/>
      <w:bCs/>
      <w:color w:val="1C6EA4"/>
      <w:sz w:val="27"/>
      <w:szCs w:val="27"/>
      <w:lang w:eastAsia="fr-FR"/>
    </w:rPr>
  </w:style>
  <w:style w:type="paragraph" w:styleId="Titre3">
    <w:name w:val="heading 3"/>
    <w:link w:val="Titre3Car"/>
    <w:uiPriority w:val="9"/>
    <w:unhideWhenUsed/>
    <w:qFormat/>
    <w:rsid w:val="008E608A"/>
    <w:pPr>
      <w:spacing w:before="200" w:after="80" w:line="240" w:lineRule="auto"/>
      <w:outlineLvl w:val="2"/>
    </w:pPr>
    <w:rPr>
      <w:rFonts w:ascii="Calibri" w:eastAsia="Calibri" w:hAnsi="Calibri" w:cs="Calibri"/>
      <w:b/>
      <w:bCs/>
      <w:color w:val="2E75B6"/>
      <w:sz w:val="24"/>
      <w:szCs w:val="24"/>
      <w:lang w:eastAsia="fr-FR"/>
    </w:rPr>
  </w:style>
  <w:style w:type="paragraph" w:styleId="Titre4">
    <w:name w:val="heading 4"/>
    <w:link w:val="Titre4Car"/>
    <w:uiPriority w:val="9"/>
    <w:semiHidden/>
    <w:unhideWhenUsed/>
    <w:qFormat/>
    <w:rsid w:val="008E608A"/>
    <w:pPr>
      <w:spacing w:after="0" w:line="240" w:lineRule="auto"/>
      <w:outlineLvl w:val="3"/>
    </w:pPr>
    <w:rPr>
      <w:rFonts w:ascii="Calibri" w:eastAsia="Calibri" w:hAnsi="Calibri" w:cs="Calibri"/>
      <w:i/>
      <w:iCs/>
      <w:color w:val="2E74B5"/>
      <w:lang w:eastAsia="fr-FR"/>
    </w:rPr>
  </w:style>
  <w:style w:type="paragraph" w:styleId="Titre5">
    <w:name w:val="heading 5"/>
    <w:link w:val="Titre5Car"/>
    <w:uiPriority w:val="9"/>
    <w:semiHidden/>
    <w:unhideWhenUsed/>
    <w:qFormat/>
    <w:rsid w:val="008E608A"/>
    <w:pPr>
      <w:spacing w:after="0" w:line="240" w:lineRule="auto"/>
      <w:outlineLvl w:val="4"/>
    </w:pPr>
    <w:rPr>
      <w:rFonts w:ascii="Calibri" w:eastAsia="Calibri" w:hAnsi="Calibri" w:cs="Calibri"/>
      <w:color w:val="2E74B5"/>
      <w:lang w:eastAsia="fr-FR"/>
    </w:rPr>
  </w:style>
  <w:style w:type="paragraph" w:styleId="Titre6">
    <w:name w:val="heading 6"/>
    <w:link w:val="Titre6Car"/>
    <w:uiPriority w:val="9"/>
    <w:semiHidden/>
    <w:unhideWhenUsed/>
    <w:qFormat/>
    <w:rsid w:val="008E608A"/>
    <w:pPr>
      <w:spacing w:after="0" w:line="240" w:lineRule="auto"/>
      <w:outlineLvl w:val="5"/>
    </w:pPr>
    <w:rPr>
      <w:rFonts w:ascii="Calibri" w:eastAsia="Calibri" w:hAnsi="Calibri" w:cs="Calibri"/>
      <w:color w:val="1F4D7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608A"/>
    <w:rPr>
      <w:rFonts w:ascii="Calibri" w:eastAsia="Calibri" w:hAnsi="Calibri" w:cs="Calibri"/>
      <w:b/>
      <w:bCs/>
      <w:color w:val="1C3A5C"/>
      <w:sz w:val="34"/>
      <w:szCs w:val="34"/>
      <w:lang w:eastAsia="fr-FR"/>
    </w:rPr>
  </w:style>
  <w:style w:type="character" w:customStyle="1" w:styleId="Titre2Car">
    <w:name w:val="Titre 2 Car"/>
    <w:basedOn w:val="Policepardfaut"/>
    <w:link w:val="Titre2"/>
    <w:uiPriority w:val="9"/>
    <w:rsid w:val="008E608A"/>
    <w:rPr>
      <w:rFonts w:ascii="Calibri" w:eastAsia="Calibri" w:hAnsi="Calibri" w:cs="Calibri"/>
      <w:b/>
      <w:bCs/>
      <w:color w:val="1C6EA4"/>
      <w:sz w:val="27"/>
      <w:szCs w:val="27"/>
      <w:lang w:eastAsia="fr-FR"/>
    </w:rPr>
  </w:style>
  <w:style w:type="character" w:customStyle="1" w:styleId="Titre3Car">
    <w:name w:val="Titre 3 Car"/>
    <w:basedOn w:val="Policepardfaut"/>
    <w:link w:val="Titre3"/>
    <w:uiPriority w:val="9"/>
    <w:rsid w:val="008E608A"/>
    <w:rPr>
      <w:rFonts w:ascii="Calibri" w:eastAsia="Calibri" w:hAnsi="Calibri" w:cs="Calibri"/>
      <w:b/>
      <w:bCs/>
      <w:color w:val="2E75B6"/>
      <w:sz w:val="24"/>
      <w:szCs w:val="24"/>
      <w:lang w:eastAsia="fr-FR"/>
    </w:rPr>
  </w:style>
  <w:style w:type="character" w:customStyle="1" w:styleId="Titre4Car">
    <w:name w:val="Titre 4 Car"/>
    <w:basedOn w:val="Policepardfaut"/>
    <w:link w:val="Titre4"/>
    <w:uiPriority w:val="9"/>
    <w:semiHidden/>
    <w:rsid w:val="008E608A"/>
    <w:rPr>
      <w:rFonts w:ascii="Calibri" w:eastAsia="Calibri" w:hAnsi="Calibri" w:cs="Calibri"/>
      <w:i/>
      <w:iCs/>
      <w:color w:val="2E74B5"/>
      <w:lang w:eastAsia="fr-FR"/>
    </w:rPr>
  </w:style>
  <w:style w:type="character" w:customStyle="1" w:styleId="Titre5Car">
    <w:name w:val="Titre 5 Car"/>
    <w:basedOn w:val="Policepardfaut"/>
    <w:link w:val="Titre5"/>
    <w:uiPriority w:val="9"/>
    <w:semiHidden/>
    <w:rsid w:val="008E608A"/>
    <w:rPr>
      <w:rFonts w:ascii="Calibri" w:eastAsia="Calibri" w:hAnsi="Calibri" w:cs="Calibri"/>
      <w:color w:val="2E74B5"/>
      <w:lang w:eastAsia="fr-FR"/>
    </w:rPr>
  </w:style>
  <w:style w:type="character" w:customStyle="1" w:styleId="Titre6Car">
    <w:name w:val="Titre 6 Car"/>
    <w:basedOn w:val="Policepardfaut"/>
    <w:link w:val="Titre6"/>
    <w:uiPriority w:val="9"/>
    <w:semiHidden/>
    <w:rsid w:val="008E608A"/>
    <w:rPr>
      <w:rFonts w:ascii="Calibri" w:eastAsia="Calibri" w:hAnsi="Calibri" w:cs="Calibri"/>
      <w:color w:val="1F4D78"/>
      <w:lang w:eastAsia="fr-FR"/>
    </w:rPr>
  </w:style>
  <w:style w:type="paragraph" w:styleId="Titre">
    <w:name w:val="Title"/>
    <w:link w:val="TitreCar"/>
    <w:uiPriority w:val="10"/>
    <w:qFormat/>
    <w:rsid w:val="008E608A"/>
    <w:pPr>
      <w:spacing w:after="0" w:line="240" w:lineRule="auto"/>
    </w:pPr>
    <w:rPr>
      <w:rFonts w:ascii="Calibri" w:eastAsia="Calibri" w:hAnsi="Calibri" w:cs="Calibri"/>
      <w:sz w:val="56"/>
      <w:szCs w:val="56"/>
      <w:lang w:eastAsia="fr-FR"/>
    </w:rPr>
  </w:style>
  <w:style w:type="character" w:customStyle="1" w:styleId="TitreCar">
    <w:name w:val="Titre Car"/>
    <w:basedOn w:val="Policepardfaut"/>
    <w:link w:val="Titre"/>
    <w:uiPriority w:val="10"/>
    <w:rsid w:val="008E608A"/>
    <w:rPr>
      <w:rFonts w:ascii="Calibri" w:eastAsia="Calibri" w:hAnsi="Calibri" w:cs="Calibri"/>
      <w:sz w:val="56"/>
      <w:szCs w:val="56"/>
      <w:lang w:eastAsia="fr-FR"/>
    </w:rPr>
  </w:style>
  <w:style w:type="paragraph" w:customStyle="1" w:styleId="lev1">
    <w:name w:val="Élevé1"/>
    <w:qFormat/>
    <w:rsid w:val="008E608A"/>
    <w:pPr>
      <w:spacing w:after="0" w:line="240" w:lineRule="auto"/>
    </w:pPr>
    <w:rPr>
      <w:rFonts w:ascii="Calibri" w:eastAsia="Calibri" w:hAnsi="Calibri" w:cs="Calibri"/>
      <w:b/>
      <w:bCs/>
      <w:lang w:eastAsia="fr-FR"/>
    </w:rPr>
  </w:style>
  <w:style w:type="paragraph" w:styleId="Paragraphedeliste">
    <w:name w:val="List Paragraph"/>
    <w:qFormat/>
    <w:rsid w:val="008E608A"/>
    <w:pPr>
      <w:spacing w:after="0" w:line="240" w:lineRule="auto"/>
    </w:pPr>
    <w:rPr>
      <w:rFonts w:ascii="Calibri" w:eastAsia="Calibri" w:hAnsi="Calibri" w:cs="Calibri"/>
      <w:lang w:eastAsia="fr-FR"/>
    </w:rPr>
  </w:style>
  <w:style w:type="character" w:styleId="Lienhypertexte">
    <w:name w:val="Hyperlink"/>
    <w:uiPriority w:val="99"/>
    <w:unhideWhenUsed/>
    <w:rsid w:val="008E608A"/>
    <w:rPr>
      <w:color w:val="0563C1"/>
      <w:u w:val="single"/>
    </w:rPr>
  </w:style>
  <w:style w:type="character" w:styleId="Appelnotedebasdep">
    <w:name w:val="footnote reference"/>
    <w:uiPriority w:val="99"/>
    <w:semiHidden/>
    <w:unhideWhenUsed/>
    <w:rsid w:val="008E608A"/>
    <w:rPr>
      <w:vertAlign w:val="superscript"/>
    </w:rPr>
  </w:style>
  <w:style w:type="paragraph" w:styleId="Notedebasdepage">
    <w:name w:val="footnote text"/>
    <w:link w:val="NotedebasdepageCar"/>
    <w:uiPriority w:val="99"/>
    <w:semiHidden/>
    <w:unhideWhenUsed/>
    <w:rsid w:val="008E608A"/>
    <w:pPr>
      <w:spacing w:after="0" w:line="240" w:lineRule="auto"/>
    </w:pPr>
    <w:rPr>
      <w:rFonts w:ascii="Calibri" w:eastAsia="Calibri" w:hAnsi="Calibri" w:cs="Calibri"/>
      <w:sz w:val="20"/>
      <w:szCs w:val="20"/>
      <w:lang w:eastAsia="fr-FR"/>
    </w:rPr>
  </w:style>
  <w:style w:type="character" w:customStyle="1" w:styleId="NotedebasdepageCar">
    <w:name w:val="Note de bas de page Car"/>
    <w:basedOn w:val="Policepardfaut"/>
    <w:link w:val="Notedebasdepage"/>
    <w:uiPriority w:val="99"/>
    <w:semiHidden/>
    <w:rsid w:val="008E608A"/>
    <w:rPr>
      <w:rFonts w:ascii="Calibri" w:eastAsia="Calibri" w:hAnsi="Calibri" w:cs="Calibri"/>
      <w:sz w:val="20"/>
      <w:szCs w:val="20"/>
      <w:lang w:eastAsia="fr-FR"/>
    </w:rPr>
  </w:style>
  <w:style w:type="character" w:styleId="Appeldenotedefin">
    <w:name w:val="endnote reference"/>
    <w:uiPriority w:val="99"/>
    <w:semiHidden/>
    <w:unhideWhenUsed/>
    <w:rsid w:val="008E608A"/>
    <w:rPr>
      <w:vertAlign w:val="superscript"/>
    </w:rPr>
  </w:style>
  <w:style w:type="paragraph" w:styleId="Notedefin">
    <w:name w:val="endnote text"/>
    <w:link w:val="NotedefinCar"/>
    <w:uiPriority w:val="99"/>
    <w:semiHidden/>
    <w:unhideWhenUsed/>
    <w:rsid w:val="008E608A"/>
    <w:pPr>
      <w:spacing w:after="0" w:line="240" w:lineRule="auto"/>
    </w:pPr>
    <w:rPr>
      <w:rFonts w:ascii="Calibri" w:eastAsia="Calibri" w:hAnsi="Calibri" w:cs="Calibri"/>
      <w:sz w:val="20"/>
      <w:szCs w:val="20"/>
      <w:lang w:eastAsia="fr-FR"/>
    </w:rPr>
  </w:style>
  <w:style w:type="character" w:customStyle="1" w:styleId="NotedefinCar">
    <w:name w:val="Note de fin Car"/>
    <w:basedOn w:val="Policepardfaut"/>
    <w:link w:val="Notedefin"/>
    <w:uiPriority w:val="99"/>
    <w:semiHidden/>
    <w:rsid w:val="008E608A"/>
    <w:rPr>
      <w:rFonts w:ascii="Calibri" w:eastAsia="Calibri" w:hAnsi="Calibri" w:cs="Calibri"/>
      <w:sz w:val="20"/>
      <w:szCs w:val="20"/>
      <w:lang w:eastAsia="fr-FR"/>
    </w:rPr>
  </w:style>
  <w:style w:type="paragraph" w:styleId="TM1">
    <w:name w:val="toc 1"/>
    <w:basedOn w:val="Normal"/>
    <w:next w:val="Normal"/>
    <w:autoRedefine/>
    <w:uiPriority w:val="39"/>
    <w:unhideWhenUsed/>
    <w:rsid w:val="008E608A"/>
    <w:pPr>
      <w:spacing w:after="100"/>
    </w:pPr>
  </w:style>
  <w:style w:type="paragraph" w:styleId="TM2">
    <w:name w:val="toc 2"/>
    <w:basedOn w:val="Normal"/>
    <w:next w:val="Normal"/>
    <w:autoRedefine/>
    <w:uiPriority w:val="39"/>
    <w:unhideWhenUsed/>
    <w:rsid w:val="008E608A"/>
    <w:pPr>
      <w:spacing w:after="100"/>
      <w:ind w:left="220"/>
    </w:pPr>
  </w:style>
  <w:style w:type="paragraph" w:styleId="TM3">
    <w:name w:val="toc 3"/>
    <w:basedOn w:val="Normal"/>
    <w:next w:val="Normal"/>
    <w:autoRedefine/>
    <w:uiPriority w:val="39"/>
    <w:unhideWhenUsed/>
    <w:rsid w:val="008E608A"/>
    <w:pPr>
      <w:spacing w:after="100"/>
      <w:ind w:left="440"/>
    </w:pPr>
  </w:style>
  <w:style w:type="paragraph" w:styleId="En-tte">
    <w:name w:val="header"/>
    <w:basedOn w:val="Normal"/>
    <w:link w:val="En-tteCar"/>
    <w:uiPriority w:val="99"/>
    <w:unhideWhenUsed/>
    <w:rsid w:val="008E608A"/>
    <w:pPr>
      <w:tabs>
        <w:tab w:val="center" w:pos="4536"/>
        <w:tab w:val="right" w:pos="9072"/>
      </w:tabs>
    </w:pPr>
  </w:style>
  <w:style w:type="character" w:customStyle="1" w:styleId="En-tteCar">
    <w:name w:val="En-tête Car"/>
    <w:basedOn w:val="Policepardfaut"/>
    <w:link w:val="En-tte"/>
    <w:uiPriority w:val="99"/>
    <w:rsid w:val="008E608A"/>
    <w:rPr>
      <w:rFonts w:ascii="Calibri" w:eastAsia="Calibri" w:hAnsi="Calibri" w:cs="Calibri"/>
      <w:lang w:eastAsia="fr-FR"/>
    </w:rPr>
  </w:style>
  <w:style w:type="paragraph" w:styleId="Pieddepage">
    <w:name w:val="footer"/>
    <w:basedOn w:val="Normal"/>
    <w:link w:val="PieddepageCar"/>
    <w:uiPriority w:val="99"/>
    <w:unhideWhenUsed/>
    <w:rsid w:val="008E608A"/>
    <w:pPr>
      <w:tabs>
        <w:tab w:val="center" w:pos="4536"/>
        <w:tab w:val="right" w:pos="9072"/>
      </w:tabs>
    </w:pPr>
  </w:style>
  <w:style w:type="character" w:customStyle="1" w:styleId="PieddepageCar">
    <w:name w:val="Pied de page Car"/>
    <w:basedOn w:val="Policepardfaut"/>
    <w:link w:val="Pieddepage"/>
    <w:uiPriority w:val="99"/>
    <w:rsid w:val="008E608A"/>
    <w:rPr>
      <w:rFonts w:ascii="Calibri" w:eastAsia="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EMAPE\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4400740230052007E-4"/>
          <c:y val="1.8135585559915811E-2"/>
          <c:w val="0.99915599259769949"/>
          <c:h val="0.85550797914672927"/>
        </c:manualLayout>
      </c:layout>
      <c:barChart>
        <c:barDir val="col"/>
        <c:grouping val="clustered"/>
        <c:varyColors val="0"/>
        <c:ser>
          <c:idx val="0"/>
          <c:order val="0"/>
          <c:tx>
            <c:strRef>
              <c:f>table!$B$150</c:f>
              <c:strCache>
                <c:ptCount val="1"/>
                <c:pt idx="0">
                  <c:v> Importation déclarée (UN Comtrade) </c:v>
                </c:pt>
              </c:strCache>
            </c:strRef>
          </c:tx>
          <c:spPr>
            <a:solidFill>
              <a:schemeClr val="accent1"/>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table!$A$151:$A$155</c:f>
              <c:numCache>
                <c:formatCode>_(* #,##0.00_);_(* \(#,##0.00\);_(* "-"??_);_(@_)</c:formatCode>
                <c:ptCount val="5"/>
                <c:pt idx="0">
                  <c:v>2020</c:v>
                </c:pt>
                <c:pt idx="1">
                  <c:v>2021</c:v>
                </c:pt>
                <c:pt idx="2">
                  <c:v>2022</c:v>
                </c:pt>
                <c:pt idx="3">
                  <c:v>2023</c:v>
                </c:pt>
                <c:pt idx="4">
                  <c:v>2024</c:v>
                </c:pt>
              </c:numCache>
            </c:numRef>
          </c:cat>
          <c:val>
            <c:numRef>
              <c:f>table!$B$151:$B$155</c:f>
              <c:numCache>
                <c:formatCode>_(* #,##0.00_);_(* \(#,##0.00\);_(* "-"??_);_(@_)</c:formatCode>
                <c:ptCount val="5"/>
                <c:pt idx="0">
                  <c:v>24.897390000000005</c:v>
                </c:pt>
                <c:pt idx="1">
                  <c:v>20.127113000000001</c:v>
                </c:pt>
                <c:pt idx="2">
                  <c:v>18.989317</c:v>
                </c:pt>
                <c:pt idx="3">
                  <c:v>18.447341999999999</c:v>
                </c:pt>
                <c:pt idx="4">
                  <c:v>11.188336999999999</c:v>
                </c:pt>
              </c:numCache>
            </c:numRef>
          </c:val>
          <c:extLst>
            <c:ext xmlns:c16="http://schemas.microsoft.com/office/drawing/2014/chart" uri="{C3380CC4-5D6E-409C-BE32-E72D297353CC}">
              <c16:uniqueId val="{00000000-DD3A-4FDA-8D55-27B5D7B33DD4}"/>
            </c:ext>
          </c:extLst>
        </c:ser>
        <c:ser>
          <c:idx val="1"/>
          <c:order val="1"/>
          <c:tx>
            <c:strRef>
              <c:f>table!$C$150</c:f>
              <c:strCache>
                <c:ptCount val="1"/>
                <c:pt idx="0">
                  <c:v> Exportation déclarée (ITIE Sénégal) </c:v>
                </c:pt>
              </c:strCache>
            </c:strRef>
          </c:tx>
          <c:spPr>
            <a:solidFill>
              <a:schemeClr val="accent2"/>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table!$A$151:$A$155</c:f>
              <c:numCache>
                <c:formatCode>_(* #,##0.00_);_(* \(#,##0.00\);_(* "-"??_);_(@_)</c:formatCode>
                <c:ptCount val="5"/>
                <c:pt idx="0">
                  <c:v>2020</c:v>
                </c:pt>
                <c:pt idx="1">
                  <c:v>2021</c:v>
                </c:pt>
                <c:pt idx="2">
                  <c:v>2022</c:v>
                </c:pt>
                <c:pt idx="3">
                  <c:v>2023</c:v>
                </c:pt>
                <c:pt idx="4">
                  <c:v>2024</c:v>
                </c:pt>
              </c:numCache>
            </c:numRef>
          </c:cat>
          <c:val>
            <c:numRef>
              <c:f>table!$C$151:$C$155</c:f>
              <c:numCache>
                <c:formatCode>_(* #,##0.00_);_(* \(#,##0.00\);_(* "-"??_);_(@_)</c:formatCode>
                <c:ptCount val="5"/>
                <c:pt idx="0">
                  <c:v>12.354299666415248</c:v>
                </c:pt>
                <c:pt idx="1">
                  <c:v>15.873222242093886</c:v>
                </c:pt>
                <c:pt idx="2">
                  <c:v>16.371563062136971</c:v>
                </c:pt>
                <c:pt idx="3">
                  <c:v>12.959168915188604</c:v>
                </c:pt>
                <c:pt idx="4">
                  <c:v>10.669797749663696</c:v>
                </c:pt>
              </c:numCache>
            </c:numRef>
          </c:val>
          <c:extLst>
            <c:ext xmlns:c16="http://schemas.microsoft.com/office/drawing/2014/chart" uri="{C3380CC4-5D6E-409C-BE32-E72D297353CC}">
              <c16:uniqueId val="{00000001-DD3A-4FDA-8D55-27B5D7B33DD4}"/>
            </c:ext>
          </c:extLst>
        </c:ser>
        <c:dLbls>
          <c:dLblPos val="outEnd"/>
          <c:showLegendKey val="0"/>
          <c:showVal val="1"/>
          <c:showCatName val="0"/>
          <c:showSerName val="0"/>
          <c:showPercent val="0"/>
          <c:showBubbleSize val="0"/>
        </c:dLbls>
        <c:gapWidth val="219"/>
        <c:overlap val="-27"/>
        <c:axId val="1712477856"/>
        <c:axId val="1712480352"/>
      </c:barChart>
      <c:catAx>
        <c:axId val="1712477856"/>
        <c:scaling>
          <c:orientation val="minMax"/>
        </c:scaling>
        <c:delete val="0"/>
        <c:axPos val="b"/>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12480352"/>
        <c:crosses val="autoZero"/>
        <c:auto val="1"/>
        <c:lblAlgn val="ctr"/>
        <c:lblOffset val="100"/>
        <c:noMultiLvlLbl val="0"/>
      </c:catAx>
      <c:valAx>
        <c:axId val="1712480352"/>
        <c:scaling>
          <c:orientation val="minMax"/>
        </c:scaling>
        <c:delete val="1"/>
        <c:axPos val="l"/>
        <c:numFmt formatCode="_(* #,##0.00_);_(* \(#,##0.00\);_(* &quot;-&quot;??_);_(@_)" sourceLinked="1"/>
        <c:majorTickMark val="none"/>
        <c:minorTickMark val="none"/>
        <c:tickLblPos val="nextTo"/>
        <c:crossAx val="1712477856"/>
        <c:crosses val="autoZero"/>
        <c:crossBetween val="between"/>
      </c:valAx>
      <c:spPr>
        <a:noFill/>
        <a:ln>
          <a:noFill/>
        </a:ln>
        <a:effectLst/>
      </c:spPr>
    </c:plotArea>
    <c:legend>
      <c:legendPos val="b"/>
      <c:layout>
        <c:manualLayout>
          <c:xMode val="edge"/>
          <c:yMode val="edge"/>
          <c:x val="0.62777777777777777"/>
          <c:y val="2.3726305045202692E-2"/>
          <c:w val="0.37222222222222223"/>
          <c:h val="0.2170144356955380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4</TotalTime>
  <Pages>21</Pages>
  <Words>6516</Words>
  <Characters>35840</Characters>
  <Application>Microsoft Office Word</Application>
  <DocSecurity>0</DocSecurity>
  <Lines>298</Lines>
  <Paragraphs>84</Paragraphs>
  <ScaleCrop>false</ScaleCrop>
  <Company/>
  <LinksUpToDate>false</LinksUpToDate>
  <CharactersWithSpaces>42272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1</cp:revision>
  <dcterms:created xsi:type="dcterms:W3CDTF">2026-05-20T11:18:00Z</dcterms:created>
  <dcterms:modified xsi:type="dcterms:W3CDTF">2026-05-20T11:22:00Z</dcterms:modified>
</cp:coreProperties>
</file>