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9B32D" w14:textId="77777777" w:rsidR="001736E0" w:rsidRDefault="001736E0" w:rsidP="001736E0">
      <w:pPr>
        <w:pStyle w:val="NormalWeb"/>
      </w:pPr>
      <w:r>
        <w:t xml:space="preserve">Avec </w:t>
      </w:r>
      <w:r>
        <w:rPr>
          <w:rStyle w:val="lev"/>
        </w:rPr>
        <w:t>+11,976 tonnes cumulées</w:t>
      </w:r>
      <w:r>
        <w:t xml:space="preserve"> sur 2020–2024 et zéro exportation déclarée côté sénégalais, le corridor des Émirats arabes unis concentre à lui seul </w:t>
      </w:r>
      <w:r>
        <w:rPr>
          <w:rStyle w:val="lev"/>
        </w:rPr>
        <w:t>47,1 % de l'écart total</w:t>
      </w:r>
      <w:r>
        <w:t xml:space="preserve">, confirmant un flux entièrement informel. Ce résultat corrobore les conclusions de SWISSAID (2024), selon lesquelles les EAU ont absorbé 80 à 85 % de l'or africain exporté en contrebande en 2022, accumulant sur 2012–2022 quelque 2 569 tonnes non déclarées à l'exportation, valorisées à 115,3 milliards USD, soit environ </w:t>
      </w:r>
      <w:r>
        <w:rPr>
          <w:rStyle w:val="lev"/>
        </w:rPr>
        <w:t>69 180 milliards de FCFA</w:t>
      </w:r>
      <w:r>
        <w:t>.</w:t>
      </w:r>
    </w:p>
    <w:p w14:paraId="560E4EB6" w14:textId="77777777" w:rsidR="00633716" w:rsidRDefault="00633716" w:rsidP="001736E0"/>
    <w:p w14:paraId="7CD4997C" w14:textId="77777777" w:rsidR="001736E0" w:rsidRPr="009B14A7" w:rsidRDefault="001736E0" w:rsidP="001736E0">
      <w:r w:rsidRPr="009B14A7">
        <w:t>En excluant l'année 2020 — qui constitue une valeur atypique</w:t>
      </w:r>
      <w:r>
        <w:t xml:space="preserve"> </w:t>
      </w:r>
      <w:r w:rsidRPr="009B14A7">
        <w:t>— l'écart moyen annuel se réduit à 3,22 tonnes, pour un taux de non-déclaration moyen de 18,3 % sur les quatre années 2021–2024. Le tableau synthétique ci-dessous présente la répartition cumulée sur 2020-2024.</w:t>
      </w:r>
    </w:p>
    <w:p w14:paraId="15C3BA66" w14:textId="77777777" w:rsidR="001736E0" w:rsidRDefault="001736E0" w:rsidP="001736E0"/>
    <w:p w14:paraId="7AAC775F" w14:textId="77777777" w:rsidR="001736E0" w:rsidRDefault="001736E0" w:rsidP="001736E0">
      <w:pPr>
        <w:ind w:left="198" w:firstLine="567"/>
      </w:pPr>
      <w:r w:rsidRPr="001736E0">
        <w:t>Les Émirats arabes unis constituent le premier poste d'écart de la série avec +11,976 tonnes cumulées sur 2020–2024, soit 47,1 % de l'écart total, reposant sur une asymétrie absolue — 11,976 tonnes déclarées importées côté EAU, zéro tonne déclarée exportée côté sénégalais sur l'ensemble de la période — confirmant un corridor réellement informel. Cette configuration n'est pas propre au Sénégal : l'étude SWISSAID (2024) établit qu'entre 2012 et 2022, les EAU ont importé 2 569 tonnes d'or africain non déclarées à l'exportation dans les pays d'origine, pour une valeur cumulée de 115,3 milliards USD — environ 69 180 milliards de FCFA —, faisant des EAU la principale destination structurelle de l'or africain exporté en contrebande, capturant 80 à 85 % de ces flux sur la seule année 2022. Conjugués, les corridors EAU et Suisse absorbent 84,7 % de l'écart cumulé de la série, soulignant la concentration extrême du phénomène de non-déclaration sur deux places financières qui constituent les nœuds centraux du commerce mondial de l'or.</w:t>
      </w:r>
    </w:p>
    <w:p w14:paraId="416F8EF3" w14:textId="77777777" w:rsidR="001736E0" w:rsidRDefault="001736E0" w:rsidP="001736E0"/>
    <w:p w14:paraId="30833016" w14:textId="77777777" w:rsidR="001736E0" w:rsidRPr="00A815B9" w:rsidRDefault="001736E0" w:rsidP="001736E0">
      <w:pPr>
        <w:ind w:left="204" w:firstLine="504"/>
      </w:pPr>
      <w:r w:rsidRPr="001736E0">
        <w:t>Ces constats font écho à la littérature internationale sur les flux d'or africain non déclaré. À l'échelle du continent, SWISSAID (2024) estime que la production d'or EMAPE non déclarée en Afrique atteint 321 à 474 tonnes par an, et que la contrebande a plus que doublé entre 2012 et 2022. Le Sénégal s'inscrit dans cette tendance régionale : les flux d'or artisanal sénégalais transitent majoritairement par le Mali avant d'être exportés vers les Émirats arabes unis, ce qui les rend structurellement invisibles aux instruments de suivi actuels — statistiques douanières nationales et données miroir Comtrade. La convergence entre les constats du présent rapport — angle mort statistique massif, sous-déclaration structurelle, route malienne non quantifiée — et les analyses internationales disponibles valide la robustesse du diagnostic et l'urgence des réformes recommandées.</w:t>
      </w:r>
    </w:p>
    <w:p w14:paraId="6E6EECE6" w14:textId="77777777" w:rsidR="001736E0" w:rsidRPr="001736E0" w:rsidRDefault="001736E0" w:rsidP="001736E0"/>
    <w:sectPr w:rsidR="001736E0" w:rsidRPr="00173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E0"/>
    <w:rsid w:val="001736E0"/>
    <w:rsid w:val="002F7BC4"/>
    <w:rsid w:val="00633716"/>
    <w:rsid w:val="00A03650"/>
    <w:rsid w:val="00A43051"/>
    <w:rsid w:val="00D2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5DF4"/>
  <w15:chartTrackingRefBased/>
  <w15:docId w15:val="{52C4FAEF-18FD-4983-BF92-864364B3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3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SN"/>
      <w14:ligatures w14:val="none"/>
    </w:rPr>
  </w:style>
  <w:style w:type="character" w:styleId="lev">
    <w:name w:val="Strong"/>
    <w:basedOn w:val="Policepardfaut"/>
    <w:uiPriority w:val="22"/>
    <w:qFormat/>
    <w:rsid w:val="00173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2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416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rachid traore</dc:creator>
  <cp:keywords/>
  <dc:description/>
  <cp:lastModifiedBy>sie rachid traore</cp:lastModifiedBy>
  <cp:revision>1</cp:revision>
  <dcterms:created xsi:type="dcterms:W3CDTF">2026-05-21T09:35:00Z</dcterms:created>
  <dcterms:modified xsi:type="dcterms:W3CDTF">2026-05-21T09:39:00Z</dcterms:modified>
</cp:coreProperties>
</file>