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CC5CA" w14:textId="77777777" w:rsidR="00E0788A" w:rsidRPr="00A1387F" w:rsidRDefault="00E0788A" w:rsidP="00E0788A">
      <w:pPr>
        <w:spacing w:before="40" w:after="40"/>
        <w:rPr>
          <w:rFonts w:ascii="Tahoma" w:hAnsi="Tahoma" w:cs="Tahoma"/>
        </w:rPr>
      </w:pPr>
    </w:p>
    <w:p w14:paraId="093CCC8C" w14:textId="77777777" w:rsidR="00E0788A" w:rsidRPr="00A1387F" w:rsidRDefault="00E0788A" w:rsidP="00E0788A">
      <w:pPr>
        <w:spacing w:before="40" w:after="40"/>
        <w:rPr>
          <w:rFonts w:ascii="Tahoma" w:hAnsi="Tahoma" w:cs="Tahoma"/>
        </w:rPr>
      </w:pPr>
    </w:p>
    <w:p w14:paraId="7C7FDB91" w14:textId="77777777" w:rsidR="00E0788A" w:rsidRPr="00A1387F" w:rsidRDefault="00E0788A" w:rsidP="00E0788A">
      <w:pPr>
        <w:spacing w:before="40" w:after="40"/>
        <w:rPr>
          <w:rFonts w:ascii="Tahoma" w:hAnsi="Tahoma" w:cs="Tahoma"/>
        </w:rPr>
      </w:pPr>
    </w:p>
    <w:p w14:paraId="5017392B" w14:textId="77777777" w:rsidR="00E0788A" w:rsidRPr="00A1387F" w:rsidRDefault="00E0788A" w:rsidP="00E0788A">
      <w:pPr>
        <w:spacing w:before="40" w:after="40"/>
        <w:rPr>
          <w:rFonts w:ascii="Tahoma" w:hAnsi="Tahoma" w:cs="Tahoma"/>
        </w:rPr>
      </w:pPr>
    </w:p>
    <w:p w14:paraId="25F90B40" w14:textId="77777777" w:rsidR="00E0788A" w:rsidRPr="00A1387F" w:rsidRDefault="00E0788A" w:rsidP="00E0788A">
      <w:pPr>
        <w:spacing w:before="40" w:after="40"/>
        <w:rPr>
          <w:rFonts w:ascii="Tahoma" w:hAnsi="Tahoma" w:cs="Tahoma"/>
        </w:rPr>
      </w:pPr>
    </w:p>
    <w:p w14:paraId="5E316DEA" w14:textId="77777777" w:rsidR="00E0788A" w:rsidRPr="00A1387F" w:rsidRDefault="00E0788A" w:rsidP="00E0788A">
      <w:pPr>
        <w:spacing w:before="40" w:after="40"/>
        <w:rPr>
          <w:rFonts w:ascii="Tahoma" w:hAnsi="Tahoma" w:cs="Tahoma"/>
        </w:rPr>
      </w:pPr>
    </w:p>
    <w:p w14:paraId="295297C8" w14:textId="77777777" w:rsidR="00E0788A" w:rsidRPr="00A1387F" w:rsidRDefault="00E0788A" w:rsidP="00E0788A">
      <w:pPr>
        <w:spacing w:before="40" w:after="40"/>
        <w:rPr>
          <w:rFonts w:ascii="Tahoma" w:hAnsi="Tahoma" w:cs="Tahoma"/>
        </w:rPr>
      </w:pPr>
    </w:p>
    <w:p w14:paraId="60958B1A" w14:textId="77777777" w:rsidR="00E0788A" w:rsidRPr="00A1387F" w:rsidRDefault="00E0788A" w:rsidP="00E0788A">
      <w:pPr>
        <w:spacing w:before="40" w:after="40"/>
        <w:rPr>
          <w:rFonts w:ascii="Tahoma" w:hAnsi="Tahoma" w:cs="Tahoma"/>
        </w:rPr>
      </w:pPr>
    </w:p>
    <w:p w14:paraId="64064E2B" w14:textId="77777777" w:rsidR="00E0788A" w:rsidRPr="00A1387F" w:rsidRDefault="00E0788A" w:rsidP="00E0788A">
      <w:pPr>
        <w:spacing w:before="40" w:after="40"/>
        <w:rPr>
          <w:rFonts w:ascii="Tahoma" w:hAnsi="Tahoma" w:cs="Tahoma"/>
        </w:rPr>
      </w:pPr>
    </w:p>
    <w:p w14:paraId="60F1ACC6" w14:textId="77777777" w:rsidR="00E0788A" w:rsidRPr="00A1387F" w:rsidRDefault="00E0788A" w:rsidP="00E0788A">
      <w:pPr>
        <w:spacing w:before="40" w:after="40"/>
        <w:rPr>
          <w:rFonts w:ascii="Tahoma" w:hAnsi="Tahoma" w:cs="Tahoma"/>
        </w:rPr>
      </w:pPr>
    </w:p>
    <w:p w14:paraId="327E0A03" w14:textId="77777777" w:rsidR="00E0788A" w:rsidRPr="00A1387F" w:rsidRDefault="00E0788A" w:rsidP="00E0788A">
      <w:pPr>
        <w:spacing w:before="40" w:after="40"/>
        <w:rPr>
          <w:rFonts w:ascii="Tahoma" w:hAnsi="Tahoma" w:cs="Tahoma"/>
        </w:rPr>
      </w:pPr>
    </w:p>
    <w:p w14:paraId="2852E604" w14:textId="77777777" w:rsidR="00E0788A" w:rsidRPr="00A1387F" w:rsidRDefault="00E0788A" w:rsidP="00E0788A">
      <w:pPr>
        <w:spacing w:before="40" w:after="40"/>
        <w:rPr>
          <w:rFonts w:ascii="Tahoma" w:hAnsi="Tahoma" w:cs="Tahoma"/>
        </w:rPr>
      </w:pPr>
    </w:p>
    <w:p w14:paraId="0F4EE187" w14:textId="77777777" w:rsidR="00E0788A" w:rsidRPr="00A1387F" w:rsidRDefault="00E0788A" w:rsidP="00E0788A">
      <w:pPr>
        <w:spacing w:before="40" w:after="40"/>
        <w:rPr>
          <w:rFonts w:ascii="Tahoma" w:hAnsi="Tahoma" w:cs="Tahoma"/>
        </w:rPr>
      </w:pPr>
    </w:p>
    <w:p w14:paraId="602EA2C0" w14:textId="77777777" w:rsidR="00E0788A" w:rsidRPr="00A1387F" w:rsidRDefault="00E0788A" w:rsidP="00E0788A">
      <w:pPr>
        <w:spacing w:before="40" w:after="40"/>
        <w:rPr>
          <w:rFonts w:ascii="Tahoma" w:hAnsi="Tahoma" w:cs="Tahoma"/>
        </w:rPr>
      </w:pPr>
    </w:p>
    <w:p w14:paraId="78268E1E" w14:textId="77777777" w:rsidR="00E0788A" w:rsidRPr="00A1387F" w:rsidRDefault="00E0788A" w:rsidP="00E0788A">
      <w:pPr>
        <w:spacing w:before="40" w:after="40"/>
        <w:rPr>
          <w:rFonts w:ascii="Tahoma" w:hAnsi="Tahoma" w:cs="Tahoma"/>
        </w:rPr>
      </w:pPr>
    </w:p>
    <w:p w14:paraId="7A270417" w14:textId="77777777" w:rsidR="00E0788A" w:rsidRPr="00A1387F" w:rsidRDefault="00E0788A" w:rsidP="00E0788A">
      <w:pPr>
        <w:spacing w:before="40" w:after="40"/>
        <w:rPr>
          <w:rFonts w:ascii="Tahoma" w:hAnsi="Tahoma" w:cs="Taho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0788A" w:rsidRPr="00A1387F" w14:paraId="7132B6F3" w14:textId="77777777" w:rsidTr="002265F4">
        <w:tc>
          <w:tcPr>
            <w:tcW w:w="9026" w:type="dxa"/>
            <w:tcBorders>
              <w:top w:val="single" w:sz="1" w:space="0" w:color="2E75B6"/>
              <w:left w:val="single" w:sz="1" w:space="0" w:color="2E75B6"/>
              <w:bottom w:val="single" w:sz="1" w:space="0" w:color="2E75B6"/>
              <w:right w:val="single" w:sz="1" w:space="0" w:color="2E75B6"/>
            </w:tcBorders>
            <w:shd w:val="clear" w:color="auto" w:fill="1F4E79"/>
            <w:tcMar>
              <w:top w:w="200" w:type="dxa"/>
              <w:left w:w="360" w:type="dxa"/>
              <w:bottom w:w="200" w:type="dxa"/>
              <w:right w:w="360" w:type="dxa"/>
            </w:tcMar>
          </w:tcPr>
          <w:p w14:paraId="45D4D579" w14:textId="77777777" w:rsidR="00E0788A" w:rsidRPr="00A1387F" w:rsidRDefault="00E0788A" w:rsidP="002265F4">
            <w:pPr>
              <w:spacing w:before="80" w:after="80"/>
              <w:jc w:val="center"/>
              <w:rPr>
                <w:rFonts w:ascii="Tahoma" w:hAnsi="Tahoma" w:cs="Tahoma"/>
              </w:rPr>
            </w:pPr>
            <w:r w:rsidRPr="00A1387F">
              <w:rPr>
                <w:rFonts w:ascii="Tahoma" w:hAnsi="Tahoma" w:cs="Tahoma"/>
                <w:b/>
                <w:bCs/>
                <w:color w:val="FFFFFF"/>
                <w:sz w:val="44"/>
                <w:szCs w:val="44"/>
              </w:rPr>
              <w:t>CAHIER DES CHARGES</w:t>
            </w:r>
          </w:p>
          <w:p w14:paraId="110E6B2F" w14:textId="77777777" w:rsidR="00E0788A" w:rsidRPr="00A1387F" w:rsidRDefault="00E0788A" w:rsidP="002265F4">
            <w:pPr>
              <w:spacing w:before="60" w:after="60"/>
              <w:jc w:val="center"/>
              <w:rPr>
                <w:rFonts w:ascii="Tahoma" w:hAnsi="Tahoma" w:cs="Tahoma"/>
              </w:rPr>
            </w:pPr>
            <w:r w:rsidRPr="00A1387F">
              <w:rPr>
                <w:rFonts w:ascii="Tahoma" w:hAnsi="Tahoma" w:cs="Tahoma"/>
                <w:i/>
                <w:iCs/>
                <w:color w:val="D6E4F0"/>
                <w:sz w:val="24"/>
                <w:szCs w:val="24"/>
              </w:rPr>
              <w:t>Encadrement des Stagiaires de Fin d'Études - ISE 3</w:t>
            </w:r>
          </w:p>
        </w:tc>
      </w:tr>
    </w:tbl>
    <w:p w14:paraId="41A1700E" w14:textId="77777777" w:rsidR="00E0788A" w:rsidRPr="00A1387F" w:rsidRDefault="00E0788A" w:rsidP="00E0788A">
      <w:pPr>
        <w:spacing w:before="40" w:after="40"/>
        <w:rPr>
          <w:rFonts w:ascii="Tahoma" w:hAnsi="Tahoma" w:cs="Tahoma"/>
        </w:rPr>
      </w:pPr>
    </w:p>
    <w:p w14:paraId="69549297" w14:textId="77777777" w:rsidR="00E0788A" w:rsidRPr="00A1387F" w:rsidRDefault="00E0788A" w:rsidP="00E0788A">
      <w:pPr>
        <w:spacing w:before="40" w:after="40"/>
        <w:rPr>
          <w:rFonts w:ascii="Tahoma" w:hAnsi="Tahoma" w:cs="Tahoma"/>
          <w:color w:val="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0788A" w:rsidRPr="00A1387F" w14:paraId="1A78461A" w14:textId="77777777" w:rsidTr="002265F4">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6C888BF6" w14:textId="77777777" w:rsidR="00E0788A" w:rsidRPr="00A1387F" w:rsidRDefault="00E0788A" w:rsidP="002265F4">
            <w:pPr>
              <w:rPr>
                <w:rFonts w:ascii="Tahoma" w:hAnsi="Tahoma" w:cs="Tahoma"/>
                <w:color w:val="auto"/>
              </w:rPr>
            </w:pPr>
            <w:r w:rsidRPr="00A1387F">
              <w:rPr>
                <w:rFonts w:ascii="Tahoma" w:hAnsi="Tahoma" w:cs="Tahoma"/>
                <w:b/>
                <w:bCs/>
                <w:color w:val="auto"/>
                <w:sz w:val="20"/>
                <w:szCs w:val="20"/>
              </w:rPr>
              <w:t>Structure d'accueil</w:t>
            </w:r>
          </w:p>
        </w:tc>
        <w:tc>
          <w:tcPr>
            <w:tcW w:w="60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4D6E45CA" w14:textId="77777777" w:rsidR="00E0788A" w:rsidRPr="00A1387F" w:rsidRDefault="00E0788A" w:rsidP="002265F4">
            <w:pPr>
              <w:rPr>
                <w:rFonts w:ascii="Tahoma" w:hAnsi="Tahoma" w:cs="Tahoma"/>
                <w:color w:val="auto"/>
              </w:rPr>
            </w:pPr>
            <w:r w:rsidRPr="00A1387F">
              <w:rPr>
                <w:rFonts w:ascii="Tahoma" w:hAnsi="Tahoma" w:cs="Tahoma"/>
                <w:color w:val="auto"/>
                <w:sz w:val="20"/>
                <w:szCs w:val="20"/>
              </w:rPr>
              <w:t>CN-ITIE</w:t>
            </w:r>
          </w:p>
        </w:tc>
      </w:tr>
      <w:tr w:rsidR="00E0788A" w:rsidRPr="00A1387F" w14:paraId="6E392FEB" w14:textId="77777777" w:rsidTr="002265F4">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1326269E" w14:textId="77777777" w:rsidR="00E0788A" w:rsidRPr="00A1387F" w:rsidRDefault="00E0788A" w:rsidP="002265F4">
            <w:pPr>
              <w:rPr>
                <w:rFonts w:ascii="Tahoma" w:hAnsi="Tahoma" w:cs="Tahoma"/>
                <w:color w:val="auto"/>
              </w:rPr>
            </w:pPr>
            <w:r w:rsidRPr="00A1387F">
              <w:rPr>
                <w:rFonts w:ascii="Tahoma" w:hAnsi="Tahoma" w:cs="Tahoma"/>
                <w:b/>
                <w:bCs/>
                <w:color w:val="auto"/>
                <w:sz w:val="20"/>
                <w:szCs w:val="20"/>
              </w:rPr>
              <w:t>Stagiaires</w:t>
            </w:r>
          </w:p>
        </w:tc>
        <w:tc>
          <w:tcPr>
            <w:tcW w:w="60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39A446B4" w14:textId="77777777" w:rsidR="00E0788A" w:rsidRPr="00A1387F" w:rsidRDefault="00E0788A" w:rsidP="002265F4">
            <w:pPr>
              <w:rPr>
                <w:rFonts w:ascii="Tahoma" w:hAnsi="Tahoma" w:cs="Tahoma"/>
                <w:color w:val="auto"/>
              </w:rPr>
            </w:pPr>
            <w:r w:rsidRPr="00A1387F">
              <w:rPr>
                <w:rFonts w:ascii="Tahoma" w:hAnsi="Tahoma" w:cs="Tahoma"/>
                <w:color w:val="auto"/>
                <w:sz w:val="20"/>
                <w:szCs w:val="20"/>
              </w:rPr>
              <w:t xml:space="preserve">M. Rachid et M. </w:t>
            </w:r>
            <w:proofErr w:type="spellStart"/>
            <w:r w:rsidRPr="00A1387F">
              <w:rPr>
                <w:rFonts w:ascii="Tahoma" w:hAnsi="Tahoma" w:cs="Tahoma"/>
                <w:color w:val="auto"/>
                <w:sz w:val="20"/>
                <w:szCs w:val="20"/>
              </w:rPr>
              <w:t>Bamogo</w:t>
            </w:r>
            <w:proofErr w:type="spellEnd"/>
          </w:p>
        </w:tc>
      </w:tr>
      <w:tr w:rsidR="00E0788A" w:rsidRPr="00A1387F" w14:paraId="46091AC9" w14:textId="77777777" w:rsidTr="002265F4">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22F043FB" w14:textId="77777777" w:rsidR="00E0788A" w:rsidRPr="00A1387F" w:rsidRDefault="00E0788A" w:rsidP="002265F4">
            <w:pPr>
              <w:rPr>
                <w:rFonts w:ascii="Tahoma" w:hAnsi="Tahoma" w:cs="Tahoma"/>
                <w:color w:val="auto"/>
              </w:rPr>
            </w:pPr>
            <w:r w:rsidRPr="00A1387F">
              <w:rPr>
                <w:rFonts w:ascii="Tahoma" w:hAnsi="Tahoma" w:cs="Tahoma"/>
                <w:b/>
                <w:bCs/>
                <w:color w:val="auto"/>
                <w:sz w:val="20"/>
                <w:szCs w:val="20"/>
              </w:rPr>
              <w:t>Durée</w:t>
            </w:r>
          </w:p>
        </w:tc>
        <w:tc>
          <w:tcPr>
            <w:tcW w:w="60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766CC687" w14:textId="77777777" w:rsidR="00E0788A" w:rsidRPr="00A1387F" w:rsidRDefault="00E0788A" w:rsidP="002265F4">
            <w:pPr>
              <w:rPr>
                <w:rFonts w:ascii="Tahoma" w:hAnsi="Tahoma" w:cs="Tahoma"/>
                <w:color w:val="auto"/>
              </w:rPr>
            </w:pPr>
            <w:r w:rsidRPr="00A1387F">
              <w:rPr>
                <w:rFonts w:ascii="Tahoma" w:hAnsi="Tahoma" w:cs="Tahoma"/>
                <w:color w:val="auto"/>
                <w:sz w:val="20"/>
                <w:szCs w:val="20"/>
              </w:rPr>
              <w:t>3 mois (12 semaines)</w:t>
            </w:r>
          </w:p>
        </w:tc>
      </w:tr>
      <w:tr w:rsidR="00E0788A" w:rsidRPr="00A1387F" w14:paraId="2F859E7B" w14:textId="77777777" w:rsidTr="002265F4">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665560AB" w14:textId="77777777" w:rsidR="00E0788A" w:rsidRPr="00A1387F" w:rsidRDefault="00E0788A" w:rsidP="002265F4">
            <w:pPr>
              <w:rPr>
                <w:rFonts w:ascii="Tahoma" w:hAnsi="Tahoma" w:cs="Tahoma"/>
                <w:color w:val="auto"/>
              </w:rPr>
            </w:pPr>
            <w:r w:rsidRPr="00A1387F">
              <w:rPr>
                <w:rFonts w:ascii="Tahoma" w:hAnsi="Tahoma" w:cs="Tahoma"/>
                <w:b/>
                <w:bCs/>
                <w:color w:val="auto"/>
                <w:sz w:val="20"/>
                <w:szCs w:val="20"/>
              </w:rPr>
              <w:t>Encadrement</w:t>
            </w:r>
          </w:p>
        </w:tc>
        <w:tc>
          <w:tcPr>
            <w:tcW w:w="60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746A5D2E" w14:textId="77777777" w:rsidR="00E0788A" w:rsidRPr="00A1387F" w:rsidRDefault="00E0788A" w:rsidP="002265F4">
            <w:pPr>
              <w:rPr>
                <w:rFonts w:ascii="Tahoma" w:hAnsi="Tahoma" w:cs="Tahoma"/>
                <w:color w:val="auto"/>
              </w:rPr>
            </w:pPr>
            <w:r w:rsidRPr="00A1387F">
              <w:rPr>
                <w:rFonts w:ascii="Tahoma" w:hAnsi="Tahoma" w:cs="Tahoma"/>
                <w:color w:val="auto"/>
                <w:sz w:val="20"/>
                <w:szCs w:val="20"/>
              </w:rPr>
              <w:t>Secrétariat Permanent - Gestionnaire de données</w:t>
            </w:r>
          </w:p>
        </w:tc>
      </w:tr>
      <w:tr w:rsidR="00E0788A" w:rsidRPr="00A1387F" w14:paraId="4A64514A" w14:textId="77777777" w:rsidTr="002265F4">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341D9666" w14:textId="77777777" w:rsidR="00E0788A" w:rsidRPr="00A1387F" w:rsidRDefault="00E0788A" w:rsidP="002265F4">
            <w:pPr>
              <w:rPr>
                <w:rFonts w:ascii="Tahoma" w:hAnsi="Tahoma" w:cs="Tahoma"/>
                <w:color w:val="auto"/>
              </w:rPr>
            </w:pPr>
            <w:r w:rsidRPr="00A1387F">
              <w:rPr>
                <w:rFonts w:ascii="Tahoma" w:hAnsi="Tahoma" w:cs="Tahoma"/>
                <w:b/>
                <w:bCs/>
                <w:color w:val="auto"/>
                <w:sz w:val="20"/>
                <w:szCs w:val="20"/>
              </w:rPr>
              <w:t>Date</w:t>
            </w:r>
          </w:p>
        </w:tc>
        <w:tc>
          <w:tcPr>
            <w:tcW w:w="6026"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6E1F85FE" w14:textId="77777777" w:rsidR="00E0788A" w:rsidRPr="00A1387F" w:rsidRDefault="00E0788A" w:rsidP="002265F4">
            <w:pPr>
              <w:rPr>
                <w:rFonts w:ascii="Tahoma" w:hAnsi="Tahoma" w:cs="Tahoma"/>
                <w:color w:val="auto"/>
              </w:rPr>
            </w:pPr>
            <w:r w:rsidRPr="00A1387F">
              <w:rPr>
                <w:rFonts w:ascii="Tahoma" w:hAnsi="Tahoma" w:cs="Tahoma"/>
                <w:color w:val="auto"/>
                <w:sz w:val="20"/>
                <w:szCs w:val="20"/>
              </w:rPr>
              <w:t>Mai 202</w:t>
            </w:r>
            <w:r>
              <w:rPr>
                <w:rFonts w:ascii="Tahoma" w:hAnsi="Tahoma" w:cs="Tahoma"/>
                <w:color w:val="auto"/>
                <w:sz w:val="20"/>
                <w:szCs w:val="20"/>
              </w:rPr>
              <w:t>6</w:t>
            </w:r>
          </w:p>
        </w:tc>
      </w:tr>
    </w:tbl>
    <w:p w14:paraId="058F7301" w14:textId="77777777" w:rsidR="00E0788A" w:rsidRPr="00A1387F" w:rsidRDefault="00E0788A" w:rsidP="00E0788A">
      <w:pPr>
        <w:spacing w:before="40" w:after="40"/>
        <w:rPr>
          <w:rFonts w:ascii="Tahoma" w:hAnsi="Tahoma" w:cs="Tahoma"/>
          <w:color w:val="auto"/>
        </w:rPr>
      </w:pPr>
    </w:p>
    <w:p w14:paraId="6B3BAF26" w14:textId="77777777" w:rsidR="00E0788A" w:rsidRPr="00A1387F" w:rsidRDefault="00E0788A" w:rsidP="00E0788A">
      <w:pPr>
        <w:spacing w:before="40" w:after="40"/>
        <w:rPr>
          <w:rFonts w:ascii="Tahoma" w:hAnsi="Tahoma" w:cs="Tahoma"/>
        </w:rPr>
      </w:pPr>
    </w:p>
    <w:p w14:paraId="6BBB3113" w14:textId="77777777" w:rsidR="00E0788A" w:rsidRPr="00A1387F" w:rsidRDefault="00E0788A" w:rsidP="00E0788A">
      <w:pPr>
        <w:rPr>
          <w:rFonts w:ascii="Tahoma" w:hAnsi="Tahoma" w:cs="Tahoma"/>
          <w:b/>
          <w:bCs/>
          <w:color w:val="1F4E79"/>
        </w:rPr>
      </w:pPr>
      <w:r w:rsidRPr="00A1387F">
        <w:rPr>
          <w:rFonts w:ascii="Tahoma" w:hAnsi="Tahoma" w:cs="Tahoma"/>
          <w:b/>
          <w:bCs/>
          <w:color w:val="1F4E79"/>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0788A" w:rsidRPr="00A1387F" w14:paraId="1F270E7A" w14:textId="77777777" w:rsidTr="002265F4">
        <w:tc>
          <w:tcPr>
            <w:tcW w:w="9026" w:type="dxa"/>
            <w:tcBorders>
              <w:top w:val="single" w:sz="1" w:space="0" w:color="2E75B6"/>
              <w:left w:val="single" w:sz="1" w:space="0" w:color="2E75B6"/>
              <w:bottom w:val="single" w:sz="1" w:space="0" w:color="2E75B6"/>
              <w:right w:val="single" w:sz="1" w:space="0" w:color="2E75B6"/>
            </w:tcBorders>
            <w:shd w:val="clear" w:color="auto" w:fill="1F4E79"/>
            <w:tcMar>
              <w:top w:w="120" w:type="dxa"/>
              <w:left w:w="240" w:type="dxa"/>
              <w:bottom w:w="120" w:type="dxa"/>
              <w:right w:w="240" w:type="dxa"/>
            </w:tcMar>
          </w:tcPr>
          <w:p w14:paraId="075691E1" w14:textId="77777777" w:rsidR="00E0788A" w:rsidRPr="00A1387F" w:rsidRDefault="00E0788A" w:rsidP="002265F4">
            <w:pPr>
              <w:rPr>
                <w:rFonts w:ascii="Tahoma" w:hAnsi="Tahoma" w:cs="Tahoma"/>
              </w:rPr>
            </w:pPr>
            <w:r w:rsidRPr="00A1387F">
              <w:rPr>
                <w:rFonts w:ascii="Tahoma" w:hAnsi="Tahoma" w:cs="Tahoma"/>
                <w:b/>
                <w:bCs/>
                <w:color w:val="C7922A"/>
                <w:sz w:val="28"/>
                <w:szCs w:val="28"/>
              </w:rPr>
              <w:lastRenderedPageBreak/>
              <w:t xml:space="preserve">I. </w:t>
            </w:r>
            <w:r w:rsidRPr="00A1387F">
              <w:rPr>
                <w:rFonts w:ascii="Tahoma" w:hAnsi="Tahoma" w:cs="Tahoma"/>
                <w:b/>
                <w:bCs/>
                <w:color w:val="FFFFFF"/>
                <w:sz w:val="28"/>
                <w:szCs w:val="28"/>
              </w:rPr>
              <w:t>INTRODUCTION</w:t>
            </w:r>
          </w:p>
        </w:tc>
      </w:tr>
    </w:tbl>
    <w:p w14:paraId="38631877" w14:textId="77777777" w:rsidR="00E0788A" w:rsidRPr="00A1387F" w:rsidRDefault="00E0788A" w:rsidP="00E0788A">
      <w:pPr>
        <w:pStyle w:val="Titre2"/>
        <w:rPr>
          <w:rFonts w:ascii="Tahoma" w:hAnsi="Tahoma" w:cs="Tahoma"/>
          <w:color w:val="auto"/>
        </w:rPr>
      </w:pPr>
      <w:r w:rsidRPr="00A1387F">
        <w:rPr>
          <w:rFonts w:ascii="Tahoma" w:hAnsi="Tahoma" w:cs="Tahoma"/>
          <w:color w:val="auto"/>
        </w:rPr>
        <w:t>1.1. Contexte</w:t>
      </w:r>
    </w:p>
    <w:p w14:paraId="4CAE6545" w14:textId="77777777" w:rsidR="00E0788A" w:rsidRDefault="00E0788A" w:rsidP="00E0788A">
      <w:pPr>
        <w:spacing w:before="80" w:after="80" w:line="276" w:lineRule="auto"/>
        <w:jc w:val="both"/>
        <w:rPr>
          <w:rFonts w:ascii="Tahoma" w:hAnsi="Tahoma" w:cs="Tahoma"/>
          <w:color w:val="auto"/>
        </w:rPr>
      </w:pPr>
      <w:r w:rsidRPr="00A1387F">
        <w:rPr>
          <w:rFonts w:ascii="Tahoma" w:hAnsi="Tahoma" w:cs="Tahoma"/>
          <w:color w:val="auto"/>
        </w:rPr>
        <w:t xml:space="preserve">Le Comité National de l’Initiative pour la Transparence dans les Industries Extractives (CN-ITIE) </w:t>
      </w:r>
      <w:r>
        <w:rPr>
          <w:rFonts w:ascii="Tahoma" w:hAnsi="Tahoma" w:cs="Tahoma"/>
          <w:color w:val="auto"/>
        </w:rPr>
        <w:t>est</w:t>
      </w:r>
      <w:r w:rsidRPr="00A1387F">
        <w:rPr>
          <w:rFonts w:ascii="Tahoma" w:hAnsi="Tahoma" w:cs="Tahoma"/>
          <w:color w:val="auto"/>
        </w:rPr>
        <w:t xml:space="preserve"> l’organe multipartite chargé de la mise en œuvre de la Norme ITIE au Sénégal.</w:t>
      </w:r>
    </w:p>
    <w:p w14:paraId="596FF250"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À ce titre, il assure notamment la réconciliation des flux financiers entre les entreprises extractives et l’État, la divulgation des informations relatives à la propriété effective ainsi que la publication de rapports annuels conformes aux exigences de validation de l’ITIE.</w:t>
      </w:r>
    </w:p>
    <w:p w14:paraId="36AFD6A2"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Toutefois, dans un contexte marqué par la nécessité d’un renforcement structurel des capacités d’analyse, de contrôle et de gouvernance du secteur extractif, le CN-ITIE est confronté à des défis techniques et analytiques de plus en plus complexes.</w:t>
      </w:r>
    </w:p>
    <w:p w14:paraId="12C9CA17"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 xml:space="preserve">À cet effet, deux </w:t>
      </w:r>
      <w:r>
        <w:rPr>
          <w:rFonts w:ascii="Tahoma" w:hAnsi="Tahoma" w:cs="Tahoma"/>
          <w:color w:val="auto"/>
        </w:rPr>
        <w:t xml:space="preserve">(02) </w:t>
      </w:r>
      <w:r w:rsidRPr="00A1387F">
        <w:rPr>
          <w:rFonts w:ascii="Tahoma" w:hAnsi="Tahoma" w:cs="Tahoma"/>
          <w:color w:val="auto"/>
        </w:rPr>
        <w:t>élèves de l’École Nationale de la Statistique et de l’Analyse Économique (ENSAE) ont été recrutés en stage afin de travailler sur des thématiques stratégiques visant à améliorer le suivi, la transparence et l’analyse du secteur extractif.</w:t>
      </w:r>
    </w:p>
    <w:p w14:paraId="625A8189" w14:textId="77777777" w:rsidR="00E0788A" w:rsidRPr="00A1387F" w:rsidRDefault="00E0788A" w:rsidP="00E0788A">
      <w:pPr>
        <w:pStyle w:val="Titre2"/>
        <w:jc w:val="both"/>
        <w:rPr>
          <w:rFonts w:ascii="Tahoma" w:hAnsi="Tahoma" w:cs="Tahoma"/>
          <w:color w:val="auto"/>
        </w:rPr>
      </w:pPr>
      <w:r w:rsidRPr="00A1387F">
        <w:rPr>
          <w:rFonts w:ascii="Tahoma" w:hAnsi="Tahoma" w:cs="Tahoma"/>
          <w:color w:val="auto"/>
        </w:rPr>
        <w:t>1.2. Justification du stage</w:t>
      </w:r>
    </w:p>
    <w:p w14:paraId="452852EA" w14:textId="77777777" w:rsidR="00E0788A" w:rsidRPr="00A1387F" w:rsidRDefault="00E0788A" w:rsidP="00E0788A">
      <w:pPr>
        <w:spacing w:before="60" w:after="60" w:line="276" w:lineRule="auto"/>
        <w:jc w:val="both"/>
        <w:rPr>
          <w:rFonts w:ascii="Tahoma" w:hAnsi="Tahoma" w:cs="Tahoma"/>
          <w:color w:val="auto"/>
        </w:rPr>
      </w:pPr>
      <w:r w:rsidRPr="00A1387F">
        <w:rPr>
          <w:rFonts w:ascii="Tahoma" w:hAnsi="Tahoma" w:cs="Tahoma"/>
          <w:color w:val="auto"/>
        </w:rPr>
        <w:t>Le recours à ces stages se justifie par :</w:t>
      </w:r>
    </w:p>
    <w:p w14:paraId="3701B54C" w14:textId="77777777" w:rsidR="00E0788A" w:rsidRPr="00A1387F" w:rsidRDefault="00E0788A" w:rsidP="00E0788A">
      <w:pPr>
        <w:pStyle w:val="Paragraphedeliste"/>
        <w:numPr>
          <w:ilvl w:val="0"/>
          <w:numId w:val="1"/>
        </w:numPr>
        <w:spacing w:before="60" w:after="60" w:line="276" w:lineRule="auto"/>
        <w:jc w:val="both"/>
        <w:rPr>
          <w:rFonts w:ascii="Tahoma" w:hAnsi="Tahoma" w:cs="Tahoma"/>
          <w:color w:val="auto"/>
        </w:rPr>
      </w:pPr>
      <w:proofErr w:type="gramStart"/>
      <w:r w:rsidRPr="00A1387F">
        <w:rPr>
          <w:rFonts w:ascii="Tahoma" w:hAnsi="Tahoma" w:cs="Tahoma"/>
          <w:color w:val="auto"/>
        </w:rPr>
        <w:t>les</w:t>
      </w:r>
      <w:proofErr w:type="gramEnd"/>
      <w:r w:rsidRPr="00A1387F">
        <w:rPr>
          <w:rFonts w:ascii="Tahoma" w:hAnsi="Tahoma" w:cs="Tahoma"/>
          <w:color w:val="auto"/>
        </w:rPr>
        <w:t xml:space="preserve"> insuffisances observées dans le Registre des Bénéficiaires Effectifs (RBE), notamment la qualité encore limitée des données disponibles ainsi que l’absence d’identifiants uniques et harmonisés entre les différents registres administratifs ;</w:t>
      </w:r>
    </w:p>
    <w:p w14:paraId="5794F9BA" w14:textId="77777777" w:rsidR="00E0788A" w:rsidRPr="00A1387F" w:rsidRDefault="00E0788A" w:rsidP="00E0788A">
      <w:pPr>
        <w:pStyle w:val="Paragraphedeliste"/>
        <w:numPr>
          <w:ilvl w:val="0"/>
          <w:numId w:val="1"/>
        </w:numPr>
        <w:spacing w:before="60" w:after="60" w:line="276" w:lineRule="auto"/>
        <w:jc w:val="both"/>
        <w:rPr>
          <w:rFonts w:ascii="Tahoma" w:hAnsi="Tahoma" w:cs="Tahoma"/>
          <w:color w:val="auto"/>
        </w:rPr>
      </w:pPr>
      <w:proofErr w:type="gramStart"/>
      <w:r w:rsidRPr="00A1387F">
        <w:rPr>
          <w:rFonts w:ascii="Tahoma" w:hAnsi="Tahoma" w:cs="Tahoma"/>
          <w:color w:val="auto"/>
        </w:rPr>
        <w:t>l’absence</w:t>
      </w:r>
      <w:proofErr w:type="gramEnd"/>
      <w:r w:rsidRPr="00A1387F">
        <w:rPr>
          <w:rFonts w:ascii="Tahoma" w:hAnsi="Tahoma" w:cs="Tahoma"/>
          <w:color w:val="auto"/>
        </w:rPr>
        <w:t xml:space="preserve"> de données fiables, exhaustives et consolidées sur le sous-secteur des Exploitations Minières Artisanales et à Petite Échelle (EMAPES), dont la contribution à l’économie extractive demeure structurellement sous-estimée dans les statistiques officielles ;</w:t>
      </w:r>
    </w:p>
    <w:p w14:paraId="093D3B9A" w14:textId="77777777" w:rsidR="00E0788A" w:rsidRPr="00A1387F" w:rsidRDefault="00E0788A" w:rsidP="00E0788A">
      <w:pPr>
        <w:pStyle w:val="Paragraphedeliste"/>
        <w:numPr>
          <w:ilvl w:val="0"/>
          <w:numId w:val="1"/>
        </w:numPr>
        <w:spacing w:before="60" w:after="60" w:line="276" w:lineRule="auto"/>
        <w:jc w:val="both"/>
        <w:rPr>
          <w:rFonts w:ascii="Tahoma" w:hAnsi="Tahoma" w:cs="Tahoma"/>
          <w:color w:val="auto"/>
        </w:rPr>
      </w:pPr>
      <w:proofErr w:type="gramStart"/>
      <w:r w:rsidRPr="00A1387F">
        <w:rPr>
          <w:rFonts w:ascii="Tahoma" w:hAnsi="Tahoma" w:cs="Tahoma"/>
          <w:color w:val="auto"/>
        </w:rPr>
        <w:t>l’inexistence</w:t>
      </w:r>
      <w:proofErr w:type="gramEnd"/>
      <w:r w:rsidRPr="00A1387F">
        <w:rPr>
          <w:rFonts w:ascii="Tahoma" w:hAnsi="Tahoma" w:cs="Tahoma"/>
          <w:color w:val="auto"/>
        </w:rPr>
        <w:t xml:space="preserve"> d’un outil quantitatif de ciblage et d’analyse permettant de détecter les anomalies de coûts de production ainsi que les risques potentiels de manipulation des prix de transfert dans le secteur minier industriel.</w:t>
      </w:r>
    </w:p>
    <w:p w14:paraId="0D242D0F" w14:textId="77777777" w:rsidR="00E0788A" w:rsidRPr="00A1387F" w:rsidRDefault="00E0788A" w:rsidP="00E0788A">
      <w:pPr>
        <w:spacing w:before="60" w:after="60" w:line="276" w:lineRule="auto"/>
        <w:jc w:val="both"/>
        <w:rPr>
          <w:rFonts w:ascii="Tahoma" w:hAnsi="Tahoma" w:cs="Tahoma"/>
          <w:color w:val="auto"/>
        </w:rPr>
      </w:pPr>
      <w:r w:rsidRPr="00A1387F">
        <w:rPr>
          <w:rFonts w:ascii="Tahoma" w:hAnsi="Tahoma" w:cs="Tahoma"/>
          <w:color w:val="auto"/>
        </w:rPr>
        <w:t>C’est dans ce contexte que s’inscrit le présent cahier des charges, qui vise à formaliser les missions, les approches méthodologiques, les livrables attendus ainsi que les obligations de résultats assignées aux deux</w:t>
      </w:r>
      <w:r>
        <w:rPr>
          <w:rFonts w:ascii="Tahoma" w:hAnsi="Tahoma" w:cs="Tahoma"/>
          <w:color w:val="auto"/>
        </w:rPr>
        <w:t xml:space="preserve"> (02)</w:t>
      </w:r>
      <w:r w:rsidRPr="00A1387F">
        <w:rPr>
          <w:rFonts w:ascii="Tahoma" w:hAnsi="Tahoma" w:cs="Tahoma"/>
          <w:color w:val="auto"/>
        </w:rPr>
        <w:t xml:space="preserve"> stagiaires accueillis au sein du CN-ITIE Sénégal.</w:t>
      </w:r>
    </w:p>
    <w:p w14:paraId="3FE14F13" w14:textId="77777777" w:rsidR="00E0788A" w:rsidRPr="00A1387F" w:rsidRDefault="00E0788A" w:rsidP="00E0788A">
      <w:pPr>
        <w:pStyle w:val="Titre2"/>
        <w:rPr>
          <w:rFonts w:ascii="Tahoma" w:hAnsi="Tahoma" w:cs="Tahoma"/>
          <w:color w:val="auto"/>
        </w:rPr>
      </w:pPr>
      <w:r w:rsidRPr="00A1387F">
        <w:rPr>
          <w:rFonts w:ascii="Tahoma" w:hAnsi="Tahoma" w:cs="Tahoma"/>
          <w:color w:val="auto"/>
        </w:rPr>
        <w:t>1.3. Objectifs du stage</w:t>
      </w:r>
    </w:p>
    <w:p w14:paraId="41A34F57" w14:textId="77777777" w:rsidR="00E0788A" w:rsidRPr="00A1387F" w:rsidRDefault="00E0788A" w:rsidP="00E0788A">
      <w:pPr>
        <w:spacing w:before="60" w:after="60" w:line="276" w:lineRule="auto"/>
        <w:jc w:val="both"/>
        <w:rPr>
          <w:rFonts w:ascii="Tahoma" w:hAnsi="Tahoma" w:cs="Tahoma"/>
          <w:color w:val="auto"/>
        </w:rPr>
      </w:pPr>
      <w:r w:rsidRPr="00A1387F">
        <w:rPr>
          <w:rFonts w:ascii="Tahoma" w:hAnsi="Tahoma" w:cs="Tahoma"/>
          <w:color w:val="auto"/>
        </w:rPr>
        <w:t>Les stages ont pour objectifs de contribuer au renforcement des capacités analytiques et des outils de gouvernance du CN-ITIE à travers les actions suivantes :</w:t>
      </w:r>
    </w:p>
    <w:p w14:paraId="3127825D" w14:textId="77777777" w:rsidR="00E0788A" w:rsidRPr="00A1387F" w:rsidRDefault="00E0788A" w:rsidP="00E0788A">
      <w:pPr>
        <w:pStyle w:val="Paragraphedeliste"/>
        <w:numPr>
          <w:ilvl w:val="0"/>
          <w:numId w:val="1"/>
        </w:numPr>
        <w:spacing w:before="60" w:after="60" w:line="276" w:lineRule="auto"/>
        <w:jc w:val="both"/>
        <w:rPr>
          <w:rFonts w:ascii="Tahoma" w:hAnsi="Tahoma" w:cs="Tahoma"/>
          <w:color w:val="auto"/>
        </w:rPr>
      </w:pPr>
      <w:proofErr w:type="gramStart"/>
      <w:r w:rsidRPr="00A1387F">
        <w:rPr>
          <w:rFonts w:ascii="Tahoma" w:hAnsi="Tahoma" w:cs="Tahoma"/>
          <w:color w:val="auto"/>
        </w:rPr>
        <w:t>fiabiliser</w:t>
      </w:r>
      <w:proofErr w:type="gramEnd"/>
      <w:r w:rsidRPr="00A1387F">
        <w:rPr>
          <w:rFonts w:ascii="Tahoma" w:hAnsi="Tahoma" w:cs="Tahoma"/>
          <w:color w:val="auto"/>
        </w:rPr>
        <w:t xml:space="preserve"> et enrichir le Registre des Bénéficiaires Effectifs (RBE) des sociétés extractives et en assurant une conformité renforcée avec l’exigence 2.5 de la Norme ITIE 2023 ;</w:t>
      </w:r>
    </w:p>
    <w:p w14:paraId="53C107BF" w14:textId="77777777" w:rsidR="00E0788A" w:rsidRPr="00A1387F" w:rsidRDefault="00E0788A" w:rsidP="00E0788A">
      <w:pPr>
        <w:pStyle w:val="Paragraphedeliste"/>
        <w:numPr>
          <w:ilvl w:val="0"/>
          <w:numId w:val="1"/>
        </w:numPr>
        <w:spacing w:before="60" w:after="60" w:line="276" w:lineRule="auto"/>
        <w:jc w:val="both"/>
        <w:rPr>
          <w:rFonts w:ascii="Tahoma" w:hAnsi="Tahoma" w:cs="Tahoma"/>
          <w:color w:val="auto"/>
        </w:rPr>
      </w:pPr>
      <w:proofErr w:type="gramStart"/>
      <w:r w:rsidRPr="00A1387F">
        <w:rPr>
          <w:rFonts w:ascii="Tahoma" w:hAnsi="Tahoma" w:cs="Tahoma"/>
          <w:color w:val="auto"/>
        </w:rPr>
        <w:t>produire</w:t>
      </w:r>
      <w:proofErr w:type="gramEnd"/>
      <w:r w:rsidRPr="00A1387F">
        <w:rPr>
          <w:rFonts w:ascii="Tahoma" w:hAnsi="Tahoma" w:cs="Tahoma"/>
          <w:color w:val="auto"/>
        </w:rPr>
        <w:t xml:space="preserve"> une base de données analytique robuste, structurée et documentée sur les Exploitations minières Artisanales et à Petite Échelle (EMAPES), incluant l’estimation des volumes de production par la méthode des statistiques miroir ainsi que la cartographie des circuits de commercialisation et des acteurs de la chaîne de valeur ;</w:t>
      </w:r>
    </w:p>
    <w:p w14:paraId="2F52FBAF" w14:textId="77777777" w:rsidR="00E0788A" w:rsidRPr="00A1387F" w:rsidRDefault="00E0788A" w:rsidP="00E0788A">
      <w:pPr>
        <w:pStyle w:val="Paragraphedeliste"/>
        <w:numPr>
          <w:ilvl w:val="0"/>
          <w:numId w:val="1"/>
        </w:numPr>
        <w:spacing w:before="60" w:after="60" w:line="276" w:lineRule="auto"/>
        <w:jc w:val="both"/>
        <w:rPr>
          <w:rFonts w:ascii="Tahoma" w:hAnsi="Tahoma" w:cs="Tahoma"/>
        </w:rPr>
      </w:pPr>
      <w:proofErr w:type="gramStart"/>
      <w:r w:rsidRPr="00A1387F">
        <w:rPr>
          <w:rFonts w:ascii="Tahoma" w:hAnsi="Tahoma" w:cs="Tahoma"/>
          <w:color w:val="auto"/>
        </w:rPr>
        <w:t>développer</w:t>
      </w:r>
      <w:proofErr w:type="gramEnd"/>
      <w:r w:rsidRPr="00A1387F">
        <w:rPr>
          <w:rFonts w:ascii="Tahoma" w:hAnsi="Tahoma" w:cs="Tahoma"/>
          <w:color w:val="auto"/>
        </w:rPr>
        <w:t xml:space="preserve"> un modèle économétrique des coûts de production du secteur minier à partir de données de panel, destiné </w:t>
      </w:r>
      <w:r w:rsidRPr="00A1387F">
        <w:rPr>
          <w:rFonts w:ascii="Tahoma" w:hAnsi="Tahoma" w:cs="Tahoma"/>
        </w:rPr>
        <w:t xml:space="preserve">à servir d’outil d’aide au ciblage des contrôles, à </w:t>
      </w:r>
      <w:r w:rsidRPr="00A1387F">
        <w:rPr>
          <w:rFonts w:ascii="Tahoma" w:hAnsi="Tahoma" w:cs="Tahoma"/>
        </w:rPr>
        <w:lastRenderedPageBreak/>
        <w:t>l’identification des anomalies de coûts et à la détection précoce des risques potentiels de manipulation des prix de transfert.</w:t>
      </w:r>
    </w:p>
    <w:p w14:paraId="1D8E457D" w14:textId="77777777" w:rsidR="00E0788A" w:rsidRPr="00A1387F" w:rsidRDefault="00E0788A" w:rsidP="00E0788A">
      <w:pPr>
        <w:spacing w:before="40" w:after="40"/>
        <w:rPr>
          <w:rFonts w:ascii="Tahoma" w:hAnsi="Tahoma" w:cs="Taho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0788A" w:rsidRPr="00A1387F" w14:paraId="59EBE99E" w14:textId="77777777" w:rsidTr="002265F4">
        <w:tc>
          <w:tcPr>
            <w:tcW w:w="9026" w:type="dxa"/>
            <w:tcBorders>
              <w:top w:val="single" w:sz="1" w:space="0" w:color="2E75B6"/>
              <w:left w:val="single" w:sz="1" w:space="0" w:color="2E75B6"/>
              <w:bottom w:val="single" w:sz="1" w:space="0" w:color="2E75B6"/>
              <w:right w:val="single" w:sz="1" w:space="0" w:color="2E75B6"/>
            </w:tcBorders>
            <w:shd w:val="clear" w:color="auto" w:fill="1F4E79"/>
            <w:tcMar>
              <w:top w:w="120" w:type="dxa"/>
              <w:left w:w="240" w:type="dxa"/>
              <w:bottom w:w="120" w:type="dxa"/>
              <w:right w:w="240" w:type="dxa"/>
            </w:tcMar>
          </w:tcPr>
          <w:p w14:paraId="760C88E0" w14:textId="77777777" w:rsidR="00E0788A" w:rsidRPr="00A1387F" w:rsidRDefault="00E0788A" w:rsidP="002265F4">
            <w:pPr>
              <w:rPr>
                <w:rFonts w:ascii="Tahoma" w:hAnsi="Tahoma" w:cs="Tahoma"/>
              </w:rPr>
            </w:pPr>
            <w:r w:rsidRPr="00A1387F">
              <w:rPr>
                <w:rFonts w:ascii="Tahoma" w:hAnsi="Tahoma" w:cs="Tahoma"/>
                <w:b/>
                <w:bCs/>
                <w:color w:val="C7922A"/>
                <w:sz w:val="28"/>
                <w:szCs w:val="28"/>
              </w:rPr>
              <w:t xml:space="preserve">II. </w:t>
            </w:r>
            <w:r w:rsidRPr="00A1387F">
              <w:rPr>
                <w:rFonts w:ascii="Tahoma" w:hAnsi="Tahoma" w:cs="Tahoma"/>
                <w:b/>
                <w:bCs/>
                <w:color w:val="FFFFFF"/>
                <w:sz w:val="28"/>
                <w:szCs w:val="28"/>
              </w:rPr>
              <w:t>OBLIGATIONS DES STAGIAIRES</w:t>
            </w:r>
          </w:p>
        </w:tc>
      </w:tr>
    </w:tbl>
    <w:p w14:paraId="4A6E3022" w14:textId="77777777" w:rsidR="00E0788A" w:rsidRPr="00A1387F" w:rsidRDefault="00E0788A" w:rsidP="00E0788A">
      <w:pPr>
        <w:pStyle w:val="Titre2"/>
        <w:rPr>
          <w:rFonts w:ascii="Tahoma" w:hAnsi="Tahoma" w:cs="Tahoma"/>
          <w:color w:val="auto"/>
        </w:rPr>
      </w:pPr>
      <w:r w:rsidRPr="00A1387F">
        <w:rPr>
          <w:rFonts w:ascii="Tahoma" w:hAnsi="Tahoma" w:cs="Tahoma"/>
          <w:color w:val="auto"/>
        </w:rPr>
        <w:t>2.1. Confidentialité et sécurité</w:t>
      </w:r>
    </w:p>
    <w:p w14:paraId="00396B1C"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Les stagiaires s'engagent à :</w:t>
      </w:r>
    </w:p>
    <w:p w14:paraId="35CED415"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Ne traiter les données auxquelles ils ont accès qu'aux seules fins définies dans le présent cahier des charges ;</w:t>
      </w:r>
    </w:p>
    <w:p w14:paraId="5AAB0B56"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Ne pas divulguer, transmettre ou publier ces données à des tiers non habilités, pendant et après la période de stage ;</w:t>
      </w:r>
    </w:p>
    <w:p w14:paraId="6EDEC512"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Stocker les données exclusivement sur les postes de travail et serveurs mis à disposition par le CN-ITIE.</w:t>
      </w:r>
    </w:p>
    <w:p w14:paraId="733B33C7" w14:textId="77777777" w:rsidR="00E0788A" w:rsidRPr="00A1387F" w:rsidRDefault="00E0788A" w:rsidP="00E0788A">
      <w:pPr>
        <w:pStyle w:val="Titre2"/>
        <w:rPr>
          <w:rFonts w:ascii="Tahoma" w:hAnsi="Tahoma" w:cs="Tahoma"/>
          <w:color w:val="auto"/>
        </w:rPr>
      </w:pPr>
      <w:r w:rsidRPr="00A1387F">
        <w:rPr>
          <w:rFonts w:ascii="Tahoma" w:hAnsi="Tahoma" w:cs="Tahoma"/>
          <w:color w:val="auto"/>
        </w:rPr>
        <w:t>2.2. Obligations de résultat</w:t>
      </w:r>
    </w:p>
    <w:p w14:paraId="413E5D64" w14:textId="77777777" w:rsidR="00E0788A" w:rsidRDefault="00E0788A" w:rsidP="00E0788A">
      <w:pPr>
        <w:spacing w:before="80" w:after="80" w:line="276" w:lineRule="auto"/>
        <w:jc w:val="both"/>
        <w:rPr>
          <w:rFonts w:ascii="Tahoma" w:hAnsi="Tahoma" w:cs="Tahoma"/>
          <w:color w:val="auto"/>
        </w:rPr>
      </w:pPr>
      <w:r w:rsidRPr="00A1387F">
        <w:rPr>
          <w:rFonts w:ascii="Tahoma" w:hAnsi="Tahoma" w:cs="Tahoma"/>
          <w:color w:val="auto"/>
        </w:rPr>
        <w:t>Le présent stage est orienté résultats.</w:t>
      </w:r>
    </w:p>
    <w:p w14:paraId="1091A829"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Les livrables constituent des obligations contractuelles dont la qualité engage la réputation professionnelle du stagiaire.</w:t>
      </w:r>
    </w:p>
    <w:p w14:paraId="3EECF6C6"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À ce titre :</w:t>
      </w:r>
    </w:p>
    <w:p w14:paraId="23C3E784"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Tout choix méthodologique doit être justifié dans les notes de cadrage et les rapports finaux ;</w:t>
      </w:r>
    </w:p>
    <w:p w14:paraId="2D9587C6"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Les scripts de traitement de données doivent être documentés et reproductibles ;</w:t>
      </w:r>
    </w:p>
    <w:p w14:paraId="5C868215"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Les sources de données doivent systématiquement être référencées ;</w:t>
      </w:r>
    </w:p>
    <w:p w14:paraId="2F394096"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Aucun livrable ne peut être diffusé à l'extérieur du CN-ITIE sans validation préalable de l'encadrant.</w:t>
      </w:r>
    </w:p>
    <w:p w14:paraId="426F95FB" w14:textId="77777777" w:rsidR="00E0788A" w:rsidRPr="00A1387F" w:rsidRDefault="00E0788A" w:rsidP="00E0788A">
      <w:pPr>
        <w:spacing w:before="40" w:after="40"/>
        <w:rPr>
          <w:rFonts w:ascii="Tahoma" w:hAnsi="Tahoma" w:cs="Tahoma"/>
          <w:color w:val="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0788A" w:rsidRPr="00A1387F" w14:paraId="2E6ADE35" w14:textId="77777777" w:rsidTr="002265F4">
        <w:tc>
          <w:tcPr>
            <w:tcW w:w="9026" w:type="dxa"/>
            <w:tcBorders>
              <w:top w:val="single" w:sz="1" w:space="0" w:color="2E75B6"/>
              <w:left w:val="single" w:sz="1" w:space="0" w:color="2E75B6"/>
              <w:bottom w:val="single" w:sz="1" w:space="0" w:color="2E75B6"/>
              <w:right w:val="single" w:sz="1" w:space="0" w:color="2E75B6"/>
            </w:tcBorders>
            <w:shd w:val="clear" w:color="auto" w:fill="1F4E79"/>
            <w:tcMar>
              <w:top w:w="120" w:type="dxa"/>
              <w:left w:w="240" w:type="dxa"/>
              <w:bottom w:w="120" w:type="dxa"/>
              <w:right w:w="240" w:type="dxa"/>
            </w:tcMar>
          </w:tcPr>
          <w:p w14:paraId="4DD98FB4" w14:textId="77777777" w:rsidR="00E0788A" w:rsidRPr="00A1387F" w:rsidRDefault="00E0788A" w:rsidP="002265F4">
            <w:pPr>
              <w:rPr>
                <w:rFonts w:ascii="Tahoma" w:hAnsi="Tahoma" w:cs="Tahoma"/>
              </w:rPr>
            </w:pPr>
            <w:r w:rsidRPr="00A1387F">
              <w:rPr>
                <w:rFonts w:ascii="Tahoma" w:hAnsi="Tahoma" w:cs="Tahoma"/>
                <w:b/>
                <w:bCs/>
                <w:color w:val="C7922A"/>
                <w:sz w:val="28"/>
                <w:szCs w:val="28"/>
              </w:rPr>
              <w:t xml:space="preserve">III. </w:t>
            </w:r>
            <w:r w:rsidRPr="00A1387F">
              <w:rPr>
                <w:rFonts w:ascii="Tahoma" w:hAnsi="Tahoma" w:cs="Tahoma"/>
                <w:b/>
                <w:bCs/>
                <w:color w:val="FFFFFF"/>
                <w:sz w:val="28"/>
                <w:szCs w:val="28"/>
              </w:rPr>
              <w:t>ORGANISATION DES TRAVAUX</w:t>
            </w:r>
          </w:p>
        </w:tc>
      </w:tr>
    </w:tbl>
    <w:p w14:paraId="54DB6DB8" w14:textId="77777777" w:rsidR="00E0788A" w:rsidRPr="00A1387F" w:rsidRDefault="00E0788A" w:rsidP="00E0788A">
      <w:pPr>
        <w:pStyle w:val="Titre2"/>
        <w:rPr>
          <w:rFonts w:ascii="Tahoma" w:hAnsi="Tahoma" w:cs="Tahoma"/>
          <w:color w:val="auto"/>
        </w:rPr>
      </w:pPr>
      <w:r w:rsidRPr="00A1387F">
        <w:rPr>
          <w:rFonts w:ascii="Tahoma" w:hAnsi="Tahoma" w:cs="Tahoma"/>
          <w:color w:val="auto"/>
        </w:rPr>
        <w:t>3.1. Architecture du dispositif</w:t>
      </w:r>
    </w:p>
    <w:p w14:paraId="010D1D37"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Le dispositif repose sur deux stagiaires travaillant en parallèle sur une durée de trois mois (12 semaines calendaires). Le stage est structuré autour d'un lot commun obligatoire (Lot 0 – RBE) et de deux lots thématiques individuels.</w:t>
      </w:r>
    </w:p>
    <w:p w14:paraId="6F2673A3"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Le RBE mobilise les deux (02) stagiaires simultanément durant les six (06) premières semaines, puis de manière résiduelle jusqu'à la fin du stage pour les mises à jour et les analyses de risques complémentaires.</w:t>
      </w:r>
    </w:p>
    <w:p w14:paraId="312F17F2"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Les thématiques sont menés en parallèle à compter de la troisième semaine.</w:t>
      </w:r>
    </w:p>
    <w:p w14:paraId="76B67B4C"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Cette architecture permet à la fois la spécialisation nécessaire à la profondeur analytique attendue et la mutualisation des efforts sur les données transversales :</w:t>
      </w:r>
    </w:p>
    <w:p w14:paraId="51A51163"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M. Rachid : RBE + Analyse des EMAPES ;</w:t>
      </w:r>
    </w:p>
    <w:p w14:paraId="4498E9B1"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 xml:space="preserve">M. </w:t>
      </w:r>
      <w:proofErr w:type="spellStart"/>
      <w:r w:rsidRPr="00A1387F">
        <w:rPr>
          <w:rFonts w:ascii="Tahoma" w:hAnsi="Tahoma" w:cs="Tahoma"/>
          <w:color w:val="auto"/>
        </w:rPr>
        <w:t>Bamogo</w:t>
      </w:r>
      <w:proofErr w:type="spellEnd"/>
      <w:r w:rsidRPr="00A1387F">
        <w:rPr>
          <w:rFonts w:ascii="Tahoma" w:hAnsi="Tahoma" w:cs="Tahoma"/>
          <w:color w:val="auto"/>
        </w:rPr>
        <w:t xml:space="preserve"> : RBE + Modélisation économétrique des coûts de production miniers.</w:t>
      </w:r>
    </w:p>
    <w:p w14:paraId="394A0644" w14:textId="77777777" w:rsidR="00E0788A" w:rsidRPr="00A1387F" w:rsidRDefault="00E0788A" w:rsidP="00E0788A">
      <w:pPr>
        <w:pStyle w:val="Titre2"/>
        <w:rPr>
          <w:rFonts w:ascii="Tahoma" w:hAnsi="Tahoma" w:cs="Tahoma"/>
          <w:color w:val="auto"/>
        </w:rPr>
      </w:pPr>
      <w:r w:rsidRPr="00A1387F">
        <w:rPr>
          <w:rFonts w:ascii="Tahoma" w:hAnsi="Tahoma" w:cs="Tahoma"/>
          <w:color w:val="auto"/>
        </w:rPr>
        <w:lastRenderedPageBreak/>
        <w:t>3.2. Calendrier</w:t>
      </w:r>
    </w:p>
    <w:tbl>
      <w:tblPr>
        <w:tblW w:w="903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229"/>
        <w:gridCol w:w="1269"/>
        <w:gridCol w:w="2402"/>
        <w:gridCol w:w="2225"/>
        <w:gridCol w:w="1905"/>
      </w:tblGrid>
      <w:tr w:rsidR="00E0788A" w:rsidRPr="00A1387F" w14:paraId="686C74F7" w14:textId="77777777" w:rsidTr="002265F4">
        <w:tc>
          <w:tcPr>
            <w:tcW w:w="1229" w:type="dxa"/>
            <w:shd w:val="clear" w:color="auto" w:fill="FFFFFF" w:themeFill="background1"/>
            <w:tcMar>
              <w:top w:w="100" w:type="dxa"/>
              <w:left w:w="160" w:type="dxa"/>
              <w:bottom w:w="100" w:type="dxa"/>
              <w:right w:w="160" w:type="dxa"/>
            </w:tcMar>
            <w:vAlign w:val="center"/>
          </w:tcPr>
          <w:p w14:paraId="67DF25CF" w14:textId="77777777" w:rsidR="00E0788A" w:rsidRPr="00A1387F" w:rsidRDefault="00E0788A" w:rsidP="002265F4">
            <w:pPr>
              <w:jc w:val="center"/>
              <w:rPr>
                <w:rFonts w:ascii="Tahoma" w:hAnsi="Tahoma" w:cs="Tahoma"/>
                <w:color w:val="auto"/>
              </w:rPr>
            </w:pPr>
            <w:r w:rsidRPr="00A1387F">
              <w:rPr>
                <w:rFonts w:ascii="Tahoma" w:hAnsi="Tahoma" w:cs="Tahoma"/>
                <w:b/>
                <w:bCs/>
                <w:color w:val="auto"/>
                <w:sz w:val="18"/>
                <w:szCs w:val="18"/>
              </w:rPr>
              <w:t>Sem</w:t>
            </w:r>
            <w:r>
              <w:rPr>
                <w:rFonts w:ascii="Tahoma" w:hAnsi="Tahoma" w:cs="Tahoma"/>
                <w:b/>
                <w:bCs/>
                <w:color w:val="auto"/>
                <w:sz w:val="18"/>
                <w:szCs w:val="18"/>
              </w:rPr>
              <w:t>aine</w:t>
            </w:r>
          </w:p>
        </w:tc>
        <w:tc>
          <w:tcPr>
            <w:tcW w:w="1269" w:type="dxa"/>
            <w:shd w:val="clear" w:color="auto" w:fill="FFFFFF" w:themeFill="background1"/>
            <w:tcMar>
              <w:top w:w="100" w:type="dxa"/>
              <w:left w:w="160" w:type="dxa"/>
              <w:bottom w:w="100" w:type="dxa"/>
              <w:right w:w="160" w:type="dxa"/>
            </w:tcMar>
            <w:vAlign w:val="center"/>
          </w:tcPr>
          <w:p w14:paraId="76BA5E7F" w14:textId="77777777" w:rsidR="00E0788A" w:rsidRPr="00A1387F" w:rsidRDefault="00E0788A" w:rsidP="002265F4">
            <w:pPr>
              <w:jc w:val="center"/>
              <w:rPr>
                <w:rFonts w:ascii="Tahoma" w:hAnsi="Tahoma" w:cs="Tahoma"/>
                <w:color w:val="auto"/>
              </w:rPr>
            </w:pPr>
            <w:r w:rsidRPr="00A1387F">
              <w:rPr>
                <w:rFonts w:ascii="Tahoma" w:hAnsi="Tahoma" w:cs="Tahoma"/>
                <w:b/>
                <w:bCs/>
                <w:color w:val="auto"/>
                <w:sz w:val="18"/>
                <w:szCs w:val="18"/>
              </w:rPr>
              <w:t>Phase</w:t>
            </w:r>
          </w:p>
        </w:tc>
        <w:tc>
          <w:tcPr>
            <w:tcW w:w="2402" w:type="dxa"/>
            <w:shd w:val="clear" w:color="auto" w:fill="FFFFFF" w:themeFill="background1"/>
            <w:tcMar>
              <w:top w:w="100" w:type="dxa"/>
              <w:left w:w="160" w:type="dxa"/>
              <w:bottom w:w="100" w:type="dxa"/>
              <w:right w:w="160" w:type="dxa"/>
            </w:tcMar>
            <w:vAlign w:val="center"/>
          </w:tcPr>
          <w:p w14:paraId="66C82858" w14:textId="77777777" w:rsidR="00E0788A" w:rsidRPr="00A1387F" w:rsidRDefault="00E0788A" w:rsidP="002265F4">
            <w:pPr>
              <w:jc w:val="center"/>
              <w:rPr>
                <w:rFonts w:ascii="Tahoma" w:hAnsi="Tahoma" w:cs="Tahoma"/>
                <w:color w:val="auto"/>
              </w:rPr>
            </w:pPr>
            <w:r w:rsidRPr="00A1387F">
              <w:rPr>
                <w:rFonts w:ascii="Tahoma" w:hAnsi="Tahoma" w:cs="Tahoma"/>
                <w:b/>
                <w:bCs/>
                <w:color w:val="auto"/>
                <w:sz w:val="18"/>
                <w:szCs w:val="18"/>
              </w:rPr>
              <w:t>Rachid - RBE + EMAPES</w:t>
            </w:r>
          </w:p>
        </w:tc>
        <w:tc>
          <w:tcPr>
            <w:tcW w:w="2225" w:type="dxa"/>
            <w:shd w:val="clear" w:color="auto" w:fill="FFFFFF" w:themeFill="background1"/>
            <w:tcMar>
              <w:top w:w="100" w:type="dxa"/>
              <w:left w:w="160" w:type="dxa"/>
              <w:bottom w:w="100" w:type="dxa"/>
              <w:right w:w="160" w:type="dxa"/>
            </w:tcMar>
            <w:vAlign w:val="center"/>
          </w:tcPr>
          <w:p w14:paraId="27C09BB3" w14:textId="77777777" w:rsidR="00E0788A" w:rsidRPr="00A1387F" w:rsidRDefault="00E0788A" w:rsidP="002265F4">
            <w:pPr>
              <w:jc w:val="center"/>
              <w:rPr>
                <w:rFonts w:ascii="Tahoma" w:hAnsi="Tahoma" w:cs="Tahoma"/>
                <w:color w:val="auto"/>
              </w:rPr>
            </w:pPr>
            <w:proofErr w:type="spellStart"/>
            <w:r w:rsidRPr="00A1387F">
              <w:rPr>
                <w:rFonts w:ascii="Tahoma" w:hAnsi="Tahoma" w:cs="Tahoma"/>
                <w:b/>
                <w:bCs/>
                <w:color w:val="auto"/>
                <w:sz w:val="18"/>
                <w:szCs w:val="18"/>
              </w:rPr>
              <w:t>Bamogo</w:t>
            </w:r>
            <w:proofErr w:type="spellEnd"/>
            <w:r w:rsidRPr="00A1387F">
              <w:rPr>
                <w:rFonts w:ascii="Tahoma" w:hAnsi="Tahoma" w:cs="Tahoma"/>
                <w:b/>
                <w:bCs/>
                <w:color w:val="auto"/>
                <w:sz w:val="18"/>
                <w:szCs w:val="18"/>
              </w:rPr>
              <w:t xml:space="preserve"> - RBE + Modélisation</w:t>
            </w:r>
            <w:r>
              <w:rPr>
                <w:rFonts w:ascii="Tahoma" w:hAnsi="Tahoma" w:cs="Tahoma"/>
                <w:b/>
                <w:bCs/>
                <w:color w:val="auto"/>
                <w:sz w:val="18"/>
                <w:szCs w:val="18"/>
              </w:rPr>
              <w:t xml:space="preserve"> éco</w:t>
            </w:r>
          </w:p>
        </w:tc>
        <w:tc>
          <w:tcPr>
            <w:tcW w:w="1905" w:type="dxa"/>
            <w:shd w:val="clear" w:color="auto" w:fill="FFFFFF" w:themeFill="background1"/>
            <w:tcMar>
              <w:top w:w="100" w:type="dxa"/>
              <w:left w:w="160" w:type="dxa"/>
              <w:bottom w:w="100" w:type="dxa"/>
              <w:right w:w="160" w:type="dxa"/>
            </w:tcMar>
            <w:vAlign w:val="center"/>
          </w:tcPr>
          <w:p w14:paraId="2321F2CD" w14:textId="77777777" w:rsidR="00E0788A" w:rsidRPr="00A1387F" w:rsidRDefault="00E0788A" w:rsidP="002265F4">
            <w:pPr>
              <w:jc w:val="center"/>
              <w:rPr>
                <w:rFonts w:ascii="Tahoma" w:hAnsi="Tahoma" w:cs="Tahoma"/>
                <w:color w:val="auto"/>
              </w:rPr>
            </w:pPr>
            <w:r w:rsidRPr="00A1387F">
              <w:rPr>
                <w:rFonts w:ascii="Tahoma" w:hAnsi="Tahoma" w:cs="Tahoma"/>
                <w:b/>
                <w:bCs/>
                <w:color w:val="auto"/>
                <w:sz w:val="18"/>
                <w:szCs w:val="18"/>
              </w:rPr>
              <w:t>Livrables</w:t>
            </w:r>
          </w:p>
        </w:tc>
      </w:tr>
      <w:tr w:rsidR="00E0788A" w:rsidRPr="00A1387F" w14:paraId="3B0A9CEC" w14:textId="77777777" w:rsidTr="002265F4">
        <w:tc>
          <w:tcPr>
            <w:tcW w:w="1229" w:type="dxa"/>
            <w:shd w:val="clear" w:color="auto" w:fill="FFFFFF" w:themeFill="background1"/>
            <w:tcMar>
              <w:top w:w="80" w:type="dxa"/>
              <w:left w:w="120" w:type="dxa"/>
              <w:bottom w:w="80" w:type="dxa"/>
              <w:right w:w="120" w:type="dxa"/>
            </w:tcMar>
            <w:vAlign w:val="center"/>
          </w:tcPr>
          <w:p w14:paraId="23D02769" w14:textId="77777777" w:rsidR="00E0788A" w:rsidRPr="00A1387F" w:rsidRDefault="00E0788A" w:rsidP="002265F4">
            <w:pPr>
              <w:jc w:val="center"/>
              <w:rPr>
                <w:rFonts w:ascii="Tahoma" w:hAnsi="Tahoma" w:cs="Tahoma"/>
                <w:color w:val="auto"/>
              </w:rPr>
            </w:pPr>
            <w:r w:rsidRPr="00A1387F">
              <w:rPr>
                <w:rFonts w:ascii="Tahoma" w:hAnsi="Tahoma" w:cs="Tahoma"/>
                <w:b/>
                <w:bCs/>
                <w:color w:val="auto"/>
                <w:sz w:val="18"/>
                <w:szCs w:val="18"/>
              </w:rPr>
              <w:t>S1</w:t>
            </w:r>
          </w:p>
        </w:tc>
        <w:tc>
          <w:tcPr>
            <w:tcW w:w="1269" w:type="dxa"/>
            <w:shd w:val="clear" w:color="auto" w:fill="FFFFFF" w:themeFill="background1"/>
            <w:tcMar>
              <w:top w:w="80" w:type="dxa"/>
              <w:left w:w="120" w:type="dxa"/>
              <w:bottom w:w="80" w:type="dxa"/>
              <w:right w:w="120" w:type="dxa"/>
            </w:tcMar>
            <w:vAlign w:val="center"/>
          </w:tcPr>
          <w:p w14:paraId="0384AE68"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Cadrage &amp; Collecte</w:t>
            </w:r>
          </w:p>
        </w:tc>
        <w:tc>
          <w:tcPr>
            <w:tcW w:w="2402" w:type="dxa"/>
            <w:shd w:val="clear" w:color="auto" w:fill="FFFFFF" w:themeFill="background1"/>
            <w:tcMar>
              <w:top w:w="80" w:type="dxa"/>
              <w:left w:w="120" w:type="dxa"/>
              <w:bottom w:w="80" w:type="dxa"/>
              <w:right w:w="120" w:type="dxa"/>
            </w:tcMar>
            <w:vAlign w:val="center"/>
          </w:tcPr>
          <w:p w14:paraId="1423754B"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Revue documentaire : Standard ITIE 2023 exigence 2.5, décret n°2020-791 du 19 mars 2020 et ses modificatifs. Prise en main du diagnostic OE 2024.</w:t>
            </w:r>
          </w:p>
        </w:tc>
        <w:tc>
          <w:tcPr>
            <w:tcW w:w="2225" w:type="dxa"/>
            <w:shd w:val="clear" w:color="auto" w:fill="FFFFFF" w:themeFill="background1"/>
            <w:tcMar>
              <w:top w:w="80" w:type="dxa"/>
              <w:left w:w="120" w:type="dxa"/>
              <w:bottom w:w="80" w:type="dxa"/>
              <w:right w:w="120" w:type="dxa"/>
            </w:tcMar>
            <w:vAlign w:val="center"/>
          </w:tcPr>
          <w:p w14:paraId="2F5789DA"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Revue documentaire : fiscalité minière sénégalaise, Principes OCDE, littérature internationale sur les coûts extractifs.</w:t>
            </w:r>
          </w:p>
        </w:tc>
        <w:tc>
          <w:tcPr>
            <w:tcW w:w="1905" w:type="dxa"/>
            <w:shd w:val="clear" w:color="auto" w:fill="FFFFFF" w:themeFill="background1"/>
            <w:tcMar>
              <w:top w:w="80" w:type="dxa"/>
              <w:left w:w="120" w:type="dxa"/>
              <w:bottom w:w="80" w:type="dxa"/>
              <w:right w:w="120" w:type="dxa"/>
            </w:tcMar>
            <w:vAlign w:val="center"/>
          </w:tcPr>
          <w:p w14:paraId="4C502E3C"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Note de cadrage commune validée par l'encadrant</w:t>
            </w:r>
          </w:p>
        </w:tc>
      </w:tr>
      <w:tr w:rsidR="00E0788A" w:rsidRPr="00A1387F" w14:paraId="11276CAD" w14:textId="77777777" w:rsidTr="002265F4">
        <w:tc>
          <w:tcPr>
            <w:tcW w:w="1229" w:type="dxa"/>
            <w:shd w:val="clear" w:color="auto" w:fill="FFFFFF" w:themeFill="background1"/>
            <w:tcMar>
              <w:top w:w="80" w:type="dxa"/>
              <w:left w:w="120" w:type="dxa"/>
              <w:bottom w:w="80" w:type="dxa"/>
              <w:right w:w="120" w:type="dxa"/>
            </w:tcMar>
            <w:vAlign w:val="center"/>
          </w:tcPr>
          <w:p w14:paraId="2132DD82" w14:textId="77777777" w:rsidR="00E0788A" w:rsidRPr="00A1387F" w:rsidRDefault="00E0788A" w:rsidP="002265F4">
            <w:pPr>
              <w:jc w:val="center"/>
              <w:rPr>
                <w:rFonts w:ascii="Tahoma" w:hAnsi="Tahoma" w:cs="Tahoma"/>
                <w:color w:val="auto"/>
              </w:rPr>
            </w:pPr>
            <w:r w:rsidRPr="00A1387F">
              <w:rPr>
                <w:rFonts w:ascii="Tahoma" w:hAnsi="Tahoma" w:cs="Tahoma"/>
                <w:b/>
                <w:bCs/>
                <w:color w:val="auto"/>
                <w:sz w:val="18"/>
                <w:szCs w:val="18"/>
              </w:rPr>
              <w:t>S2</w:t>
            </w:r>
          </w:p>
        </w:tc>
        <w:tc>
          <w:tcPr>
            <w:tcW w:w="1269" w:type="dxa"/>
            <w:shd w:val="clear" w:color="auto" w:fill="FFFFFF" w:themeFill="background1"/>
            <w:tcMar>
              <w:top w:w="80" w:type="dxa"/>
              <w:left w:w="120" w:type="dxa"/>
              <w:bottom w:w="80" w:type="dxa"/>
              <w:right w:w="120" w:type="dxa"/>
            </w:tcMar>
            <w:vAlign w:val="center"/>
          </w:tcPr>
          <w:p w14:paraId="37687A8D" w14:textId="77777777" w:rsidR="00E0788A" w:rsidRPr="00A1387F" w:rsidRDefault="00E0788A" w:rsidP="002265F4">
            <w:pPr>
              <w:jc w:val="center"/>
              <w:rPr>
                <w:rFonts w:ascii="Tahoma" w:hAnsi="Tahoma" w:cs="Tahoma"/>
                <w:color w:val="auto"/>
              </w:rPr>
            </w:pPr>
          </w:p>
        </w:tc>
        <w:tc>
          <w:tcPr>
            <w:tcW w:w="2402" w:type="dxa"/>
            <w:shd w:val="clear" w:color="auto" w:fill="FFFFFF" w:themeFill="background1"/>
            <w:tcMar>
              <w:top w:w="80" w:type="dxa"/>
              <w:left w:w="120" w:type="dxa"/>
              <w:bottom w:w="80" w:type="dxa"/>
              <w:right w:w="120" w:type="dxa"/>
            </w:tcMar>
            <w:vAlign w:val="center"/>
          </w:tcPr>
          <w:p w14:paraId="3E324126"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Collecte formulaires ITIE (Annexes 1 &amp; 3), RCCM, DGI.</w:t>
            </w:r>
            <w:r>
              <w:rPr>
                <w:rFonts w:ascii="Tahoma" w:hAnsi="Tahoma" w:cs="Tahoma"/>
                <w:color w:val="auto"/>
                <w:sz w:val="18"/>
                <w:szCs w:val="18"/>
              </w:rPr>
              <w:t xml:space="preserve"> </w:t>
            </w:r>
            <w:r w:rsidRPr="00A1387F">
              <w:rPr>
                <w:rFonts w:ascii="Tahoma" w:hAnsi="Tahoma" w:cs="Tahoma"/>
                <w:color w:val="auto"/>
                <w:sz w:val="18"/>
                <w:szCs w:val="18"/>
              </w:rPr>
              <w:t>Inventaire des sociétés sans déclaration. Note sur la méthode d'analyse miroir.</w:t>
            </w:r>
          </w:p>
        </w:tc>
        <w:tc>
          <w:tcPr>
            <w:tcW w:w="2225" w:type="dxa"/>
            <w:shd w:val="clear" w:color="auto" w:fill="FFFFFF" w:themeFill="background1"/>
            <w:tcMar>
              <w:top w:w="80" w:type="dxa"/>
              <w:left w:w="120" w:type="dxa"/>
              <w:bottom w:w="80" w:type="dxa"/>
              <w:right w:w="120" w:type="dxa"/>
            </w:tcMar>
            <w:vAlign w:val="center"/>
          </w:tcPr>
          <w:p w14:paraId="28FA250D"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Collecte données coûts et production (Annexes ITIE 1, 5, 21). Premiers tableaux descriptifs CAPEX/OPEX.</w:t>
            </w:r>
          </w:p>
        </w:tc>
        <w:tc>
          <w:tcPr>
            <w:tcW w:w="1905" w:type="dxa"/>
            <w:shd w:val="clear" w:color="auto" w:fill="FFFFFF" w:themeFill="background1"/>
            <w:tcMar>
              <w:top w:w="80" w:type="dxa"/>
              <w:left w:w="120" w:type="dxa"/>
              <w:bottom w:w="80" w:type="dxa"/>
              <w:right w:w="120" w:type="dxa"/>
            </w:tcMar>
            <w:vAlign w:val="center"/>
          </w:tcPr>
          <w:p w14:paraId="1F6C19D3"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Protocole de collecte EMAPES - Note sur la méthode d'estimation par analyse miroir (2020–2024)</w:t>
            </w:r>
          </w:p>
        </w:tc>
      </w:tr>
      <w:tr w:rsidR="00E0788A" w:rsidRPr="00A1387F" w14:paraId="509E55D8" w14:textId="77777777" w:rsidTr="002265F4">
        <w:tc>
          <w:tcPr>
            <w:tcW w:w="1229" w:type="dxa"/>
            <w:shd w:val="clear" w:color="auto" w:fill="FFFFFF" w:themeFill="background1"/>
            <w:tcMar>
              <w:top w:w="80" w:type="dxa"/>
              <w:left w:w="120" w:type="dxa"/>
              <w:bottom w:w="80" w:type="dxa"/>
              <w:right w:w="120" w:type="dxa"/>
            </w:tcMar>
            <w:vAlign w:val="center"/>
          </w:tcPr>
          <w:p w14:paraId="3080E517" w14:textId="77777777" w:rsidR="00E0788A" w:rsidRPr="00A1387F" w:rsidRDefault="00E0788A" w:rsidP="002265F4">
            <w:pPr>
              <w:jc w:val="center"/>
              <w:rPr>
                <w:rFonts w:ascii="Tahoma" w:hAnsi="Tahoma" w:cs="Tahoma"/>
                <w:color w:val="auto"/>
              </w:rPr>
            </w:pPr>
            <w:r w:rsidRPr="00A1387F">
              <w:rPr>
                <w:rFonts w:ascii="Tahoma" w:hAnsi="Tahoma" w:cs="Tahoma"/>
                <w:b/>
                <w:bCs/>
                <w:color w:val="auto"/>
                <w:sz w:val="18"/>
                <w:szCs w:val="18"/>
              </w:rPr>
              <w:t>S3</w:t>
            </w:r>
            <w:r>
              <w:rPr>
                <w:rFonts w:ascii="Tahoma" w:hAnsi="Tahoma" w:cs="Tahoma"/>
                <w:b/>
                <w:bCs/>
                <w:color w:val="auto"/>
                <w:sz w:val="18"/>
                <w:szCs w:val="18"/>
              </w:rPr>
              <w:t>-</w:t>
            </w:r>
            <w:r w:rsidRPr="00A1387F">
              <w:rPr>
                <w:rFonts w:ascii="Tahoma" w:hAnsi="Tahoma" w:cs="Tahoma"/>
                <w:b/>
                <w:bCs/>
                <w:color w:val="auto"/>
                <w:sz w:val="18"/>
                <w:szCs w:val="18"/>
              </w:rPr>
              <w:t>S4</w:t>
            </w:r>
          </w:p>
        </w:tc>
        <w:tc>
          <w:tcPr>
            <w:tcW w:w="1269" w:type="dxa"/>
            <w:shd w:val="clear" w:color="auto" w:fill="FFFFFF" w:themeFill="background1"/>
            <w:tcMar>
              <w:top w:w="80" w:type="dxa"/>
              <w:left w:w="120" w:type="dxa"/>
              <w:bottom w:w="80" w:type="dxa"/>
              <w:right w:w="120" w:type="dxa"/>
            </w:tcMar>
            <w:vAlign w:val="center"/>
          </w:tcPr>
          <w:p w14:paraId="5BE17EB1"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Structuration des bases</w:t>
            </w:r>
          </w:p>
        </w:tc>
        <w:tc>
          <w:tcPr>
            <w:tcW w:w="2402" w:type="dxa"/>
            <w:shd w:val="clear" w:color="auto" w:fill="FFFFFF" w:themeFill="background1"/>
            <w:tcMar>
              <w:top w:w="80" w:type="dxa"/>
              <w:left w:w="120" w:type="dxa"/>
              <w:bottom w:w="80" w:type="dxa"/>
              <w:right w:w="120" w:type="dxa"/>
            </w:tcMar>
            <w:vAlign w:val="center"/>
          </w:tcPr>
          <w:p w14:paraId="74C6363F"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Mise en place de la plateforme RBE relationnelle (tables Entités, Personnes, Relations). Identifiants uniques. Priorité aux sociétés sans déclaration.</w:t>
            </w:r>
          </w:p>
        </w:tc>
        <w:tc>
          <w:tcPr>
            <w:tcW w:w="2225" w:type="dxa"/>
            <w:shd w:val="clear" w:color="auto" w:fill="FFFFFF" w:themeFill="background1"/>
            <w:tcMar>
              <w:top w:w="80" w:type="dxa"/>
              <w:left w:w="120" w:type="dxa"/>
              <w:bottom w:w="80" w:type="dxa"/>
              <w:right w:w="120" w:type="dxa"/>
            </w:tcMar>
            <w:vAlign w:val="center"/>
          </w:tcPr>
          <w:p w14:paraId="731C08F1"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 xml:space="preserve">Structuration du </w:t>
            </w:r>
            <w:proofErr w:type="spellStart"/>
            <w:r w:rsidRPr="00A1387F">
              <w:rPr>
                <w:rFonts w:ascii="Tahoma" w:hAnsi="Tahoma" w:cs="Tahoma"/>
                <w:color w:val="auto"/>
                <w:sz w:val="18"/>
                <w:szCs w:val="18"/>
              </w:rPr>
              <w:t>dataset</w:t>
            </w:r>
            <w:proofErr w:type="spellEnd"/>
            <w:r w:rsidRPr="00A1387F">
              <w:rPr>
                <w:rFonts w:ascii="Tahoma" w:hAnsi="Tahoma" w:cs="Tahoma"/>
                <w:color w:val="auto"/>
                <w:sz w:val="18"/>
                <w:szCs w:val="18"/>
              </w:rPr>
              <w:t xml:space="preserve"> panel coûts sous STATA/R. Nettoyage et contrôle qualité des données. Premières statistiques descriptives.</w:t>
            </w:r>
          </w:p>
        </w:tc>
        <w:tc>
          <w:tcPr>
            <w:tcW w:w="1905" w:type="dxa"/>
            <w:shd w:val="clear" w:color="auto" w:fill="FFFFFF" w:themeFill="background1"/>
            <w:tcMar>
              <w:top w:w="80" w:type="dxa"/>
              <w:left w:w="120" w:type="dxa"/>
              <w:bottom w:w="80" w:type="dxa"/>
              <w:right w:w="120" w:type="dxa"/>
            </w:tcMar>
            <w:vAlign w:val="center"/>
          </w:tcPr>
          <w:p w14:paraId="159001B6"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 xml:space="preserve">Base RBE v1 - </w:t>
            </w:r>
            <w:proofErr w:type="spellStart"/>
            <w:r w:rsidRPr="00A1387F">
              <w:rPr>
                <w:rFonts w:ascii="Tahoma" w:hAnsi="Tahoma" w:cs="Tahoma"/>
                <w:color w:val="auto"/>
                <w:sz w:val="18"/>
                <w:szCs w:val="18"/>
              </w:rPr>
              <w:t>Dataset</w:t>
            </w:r>
            <w:proofErr w:type="spellEnd"/>
            <w:r w:rsidRPr="00A1387F">
              <w:rPr>
                <w:rFonts w:ascii="Tahoma" w:hAnsi="Tahoma" w:cs="Tahoma"/>
                <w:color w:val="auto"/>
                <w:sz w:val="18"/>
                <w:szCs w:val="18"/>
              </w:rPr>
              <w:t xml:space="preserve"> panel v1</w:t>
            </w:r>
          </w:p>
        </w:tc>
      </w:tr>
      <w:tr w:rsidR="00E0788A" w:rsidRPr="00A1387F" w14:paraId="7FD05B69" w14:textId="77777777" w:rsidTr="002265F4">
        <w:tc>
          <w:tcPr>
            <w:tcW w:w="1229" w:type="dxa"/>
            <w:shd w:val="clear" w:color="auto" w:fill="FFFFFF" w:themeFill="background1"/>
            <w:tcMar>
              <w:top w:w="80" w:type="dxa"/>
              <w:left w:w="120" w:type="dxa"/>
              <w:bottom w:w="80" w:type="dxa"/>
              <w:right w:w="120" w:type="dxa"/>
            </w:tcMar>
            <w:vAlign w:val="center"/>
          </w:tcPr>
          <w:p w14:paraId="6550182F" w14:textId="77777777" w:rsidR="00E0788A" w:rsidRPr="00A1387F" w:rsidRDefault="00E0788A" w:rsidP="002265F4">
            <w:pPr>
              <w:jc w:val="center"/>
              <w:rPr>
                <w:rFonts w:ascii="Tahoma" w:hAnsi="Tahoma" w:cs="Tahoma"/>
                <w:color w:val="auto"/>
              </w:rPr>
            </w:pPr>
            <w:r w:rsidRPr="00A1387F">
              <w:rPr>
                <w:rFonts w:ascii="Tahoma" w:hAnsi="Tahoma" w:cs="Tahoma"/>
                <w:b/>
                <w:bCs/>
                <w:color w:val="auto"/>
                <w:sz w:val="18"/>
                <w:szCs w:val="18"/>
              </w:rPr>
              <w:t>S5</w:t>
            </w:r>
            <w:r>
              <w:rPr>
                <w:rFonts w:ascii="Tahoma" w:hAnsi="Tahoma" w:cs="Tahoma"/>
                <w:b/>
                <w:bCs/>
                <w:color w:val="auto"/>
                <w:sz w:val="18"/>
                <w:szCs w:val="18"/>
              </w:rPr>
              <w:t>-</w:t>
            </w:r>
            <w:r w:rsidRPr="00A1387F">
              <w:rPr>
                <w:rFonts w:ascii="Tahoma" w:hAnsi="Tahoma" w:cs="Tahoma"/>
                <w:b/>
                <w:bCs/>
                <w:color w:val="auto"/>
                <w:sz w:val="18"/>
                <w:szCs w:val="18"/>
              </w:rPr>
              <w:t>S6</w:t>
            </w:r>
          </w:p>
        </w:tc>
        <w:tc>
          <w:tcPr>
            <w:tcW w:w="1269" w:type="dxa"/>
            <w:shd w:val="clear" w:color="auto" w:fill="FFFFFF" w:themeFill="background1"/>
            <w:tcMar>
              <w:top w:w="80" w:type="dxa"/>
              <w:left w:w="120" w:type="dxa"/>
              <w:bottom w:w="80" w:type="dxa"/>
              <w:right w:w="120" w:type="dxa"/>
            </w:tcMar>
            <w:vAlign w:val="center"/>
          </w:tcPr>
          <w:p w14:paraId="4CBC9F4F" w14:textId="77777777" w:rsidR="00E0788A" w:rsidRPr="00A1387F" w:rsidRDefault="00E0788A" w:rsidP="002265F4">
            <w:pPr>
              <w:jc w:val="center"/>
              <w:rPr>
                <w:rFonts w:ascii="Tahoma" w:hAnsi="Tahoma" w:cs="Tahoma"/>
                <w:color w:val="auto"/>
              </w:rPr>
            </w:pPr>
          </w:p>
        </w:tc>
        <w:tc>
          <w:tcPr>
            <w:tcW w:w="2402" w:type="dxa"/>
            <w:shd w:val="clear" w:color="auto" w:fill="FFFFFF" w:themeFill="background1"/>
            <w:tcMar>
              <w:top w:w="80" w:type="dxa"/>
              <w:left w:w="120" w:type="dxa"/>
              <w:bottom w:w="80" w:type="dxa"/>
              <w:right w:w="120" w:type="dxa"/>
            </w:tcMar>
            <w:vAlign w:val="center"/>
          </w:tcPr>
          <w:p w14:paraId="7B388A8A"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 xml:space="preserve">Enrichissement RBE : résidences, statuts PPE, cotation boursière (ISIN). Premiers travaux EMAPES : cartographie des zones actives (données </w:t>
            </w:r>
            <w:proofErr w:type="spellStart"/>
            <w:r w:rsidRPr="00A1387F">
              <w:rPr>
                <w:rFonts w:ascii="Tahoma" w:hAnsi="Tahoma" w:cs="Tahoma"/>
                <w:color w:val="auto"/>
                <w:sz w:val="18"/>
                <w:szCs w:val="18"/>
              </w:rPr>
              <w:t>Landfolio</w:t>
            </w:r>
            <w:proofErr w:type="spellEnd"/>
            <w:r w:rsidRPr="00A1387F">
              <w:rPr>
                <w:rFonts w:ascii="Tahoma" w:hAnsi="Tahoma" w:cs="Tahoma"/>
                <w:color w:val="auto"/>
                <w:sz w:val="18"/>
                <w:szCs w:val="18"/>
              </w:rPr>
              <w:t>).</w:t>
            </w:r>
          </w:p>
        </w:tc>
        <w:tc>
          <w:tcPr>
            <w:tcW w:w="2225" w:type="dxa"/>
            <w:shd w:val="clear" w:color="auto" w:fill="FFFFFF" w:themeFill="background1"/>
            <w:tcMar>
              <w:top w:w="80" w:type="dxa"/>
              <w:left w:w="120" w:type="dxa"/>
              <w:bottom w:w="80" w:type="dxa"/>
              <w:right w:w="120" w:type="dxa"/>
            </w:tcMar>
            <w:vAlign w:val="center"/>
          </w:tcPr>
          <w:p w14:paraId="4327BF1A"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Choix et justification du modèle économétrique. Tests préliminaires de stationnarité et de spécification (Fisher, Levin-Lin-Chu).</w:t>
            </w:r>
          </w:p>
        </w:tc>
        <w:tc>
          <w:tcPr>
            <w:tcW w:w="1905" w:type="dxa"/>
            <w:shd w:val="clear" w:color="auto" w:fill="FFFFFF" w:themeFill="background1"/>
            <w:tcMar>
              <w:top w:w="80" w:type="dxa"/>
              <w:left w:w="120" w:type="dxa"/>
              <w:bottom w:w="80" w:type="dxa"/>
              <w:right w:w="120" w:type="dxa"/>
            </w:tcMar>
            <w:vAlign w:val="center"/>
          </w:tcPr>
          <w:p w14:paraId="66DB22BB"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Base RBE v2 - Revue mi-parcours M1 (présentation orale)</w:t>
            </w:r>
          </w:p>
        </w:tc>
      </w:tr>
      <w:tr w:rsidR="00E0788A" w:rsidRPr="00A1387F" w14:paraId="0B49B995" w14:textId="77777777" w:rsidTr="002265F4">
        <w:tc>
          <w:tcPr>
            <w:tcW w:w="1229" w:type="dxa"/>
            <w:shd w:val="clear" w:color="auto" w:fill="FFFFFF" w:themeFill="background1"/>
            <w:tcMar>
              <w:top w:w="80" w:type="dxa"/>
              <w:left w:w="120" w:type="dxa"/>
              <w:bottom w:w="80" w:type="dxa"/>
              <w:right w:w="120" w:type="dxa"/>
            </w:tcMar>
            <w:vAlign w:val="center"/>
          </w:tcPr>
          <w:p w14:paraId="774FD888" w14:textId="77777777" w:rsidR="00E0788A" w:rsidRPr="00A1387F" w:rsidRDefault="00E0788A" w:rsidP="002265F4">
            <w:pPr>
              <w:jc w:val="center"/>
              <w:rPr>
                <w:rFonts w:ascii="Tahoma" w:hAnsi="Tahoma" w:cs="Tahoma"/>
                <w:color w:val="auto"/>
              </w:rPr>
            </w:pPr>
            <w:r w:rsidRPr="00A1387F">
              <w:rPr>
                <w:rFonts w:ascii="Tahoma" w:hAnsi="Tahoma" w:cs="Tahoma"/>
                <w:b/>
                <w:bCs/>
                <w:color w:val="auto"/>
                <w:sz w:val="18"/>
                <w:szCs w:val="18"/>
              </w:rPr>
              <w:t>S7</w:t>
            </w:r>
            <w:r>
              <w:rPr>
                <w:rFonts w:ascii="Tahoma" w:hAnsi="Tahoma" w:cs="Tahoma"/>
                <w:b/>
                <w:bCs/>
                <w:color w:val="auto"/>
                <w:sz w:val="18"/>
                <w:szCs w:val="18"/>
              </w:rPr>
              <w:t>-</w:t>
            </w:r>
            <w:r w:rsidRPr="00A1387F">
              <w:rPr>
                <w:rFonts w:ascii="Tahoma" w:hAnsi="Tahoma" w:cs="Tahoma"/>
                <w:b/>
                <w:bCs/>
                <w:color w:val="auto"/>
                <w:sz w:val="18"/>
                <w:szCs w:val="18"/>
              </w:rPr>
              <w:t>S8</w:t>
            </w:r>
          </w:p>
        </w:tc>
        <w:tc>
          <w:tcPr>
            <w:tcW w:w="1269" w:type="dxa"/>
            <w:shd w:val="clear" w:color="auto" w:fill="FFFFFF" w:themeFill="background1"/>
            <w:tcMar>
              <w:top w:w="80" w:type="dxa"/>
              <w:left w:w="120" w:type="dxa"/>
              <w:bottom w:w="80" w:type="dxa"/>
              <w:right w:w="120" w:type="dxa"/>
            </w:tcMar>
            <w:vAlign w:val="center"/>
          </w:tcPr>
          <w:p w14:paraId="4D32D051"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Analyse &amp; Modélisation</w:t>
            </w:r>
          </w:p>
        </w:tc>
        <w:tc>
          <w:tcPr>
            <w:tcW w:w="2402" w:type="dxa"/>
            <w:shd w:val="clear" w:color="auto" w:fill="FFFFFF" w:themeFill="background1"/>
            <w:tcMar>
              <w:top w:w="80" w:type="dxa"/>
              <w:left w:w="120" w:type="dxa"/>
              <w:bottom w:w="80" w:type="dxa"/>
              <w:right w:w="120" w:type="dxa"/>
            </w:tcMar>
            <w:vAlign w:val="center"/>
          </w:tcPr>
          <w:p w14:paraId="316E9775"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Analyse de réseau (</w:t>
            </w:r>
            <w:proofErr w:type="spellStart"/>
            <w:r w:rsidRPr="00A1387F">
              <w:rPr>
                <w:rFonts w:ascii="Tahoma" w:hAnsi="Tahoma" w:cs="Tahoma"/>
                <w:color w:val="auto"/>
                <w:sz w:val="18"/>
                <w:szCs w:val="18"/>
              </w:rPr>
              <w:t>networkx</w:t>
            </w:r>
            <w:proofErr w:type="spellEnd"/>
            <w:r w:rsidRPr="00A1387F">
              <w:rPr>
                <w:rFonts w:ascii="Tahoma" w:hAnsi="Tahoma" w:cs="Tahoma"/>
                <w:color w:val="auto"/>
                <w:sz w:val="18"/>
                <w:szCs w:val="18"/>
              </w:rPr>
              <w:t>/</w:t>
            </w:r>
            <w:proofErr w:type="spellStart"/>
            <w:r w:rsidRPr="00A1387F">
              <w:rPr>
                <w:rFonts w:ascii="Tahoma" w:hAnsi="Tahoma" w:cs="Tahoma"/>
                <w:color w:val="auto"/>
                <w:sz w:val="18"/>
                <w:szCs w:val="18"/>
              </w:rPr>
              <w:t>igraph</w:t>
            </w:r>
            <w:proofErr w:type="spellEnd"/>
            <w:r w:rsidRPr="00A1387F">
              <w:rPr>
                <w:rFonts w:ascii="Tahoma" w:hAnsi="Tahoma" w:cs="Tahoma"/>
                <w:color w:val="auto"/>
                <w:sz w:val="18"/>
                <w:szCs w:val="18"/>
              </w:rPr>
              <w:t>) : chaînes d'actionnariat, détection des structures opaques. Enquêtes auprès des structures concernées.</w:t>
            </w:r>
          </w:p>
        </w:tc>
        <w:tc>
          <w:tcPr>
            <w:tcW w:w="2225" w:type="dxa"/>
            <w:shd w:val="clear" w:color="auto" w:fill="FFFFFF" w:themeFill="background1"/>
            <w:tcMar>
              <w:top w:w="80" w:type="dxa"/>
              <w:left w:w="120" w:type="dxa"/>
              <w:bottom w:w="80" w:type="dxa"/>
              <w:right w:w="120" w:type="dxa"/>
            </w:tcMar>
            <w:vAlign w:val="center"/>
          </w:tcPr>
          <w:p w14:paraId="7AB529C9"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Estimation du modèle principal à effets fixes (</w:t>
            </w:r>
            <w:proofErr w:type="spellStart"/>
            <w:r w:rsidRPr="00A1387F">
              <w:rPr>
                <w:rFonts w:ascii="Tahoma" w:hAnsi="Tahoma" w:cs="Tahoma"/>
                <w:color w:val="auto"/>
                <w:sz w:val="18"/>
                <w:szCs w:val="18"/>
              </w:rPr>
              <w:t>xtreg</w:t>
            </w:r>
            <w:proofErr w:type="spellEnd"/>
            <w:r w:rsidRPr="00A1387F">
              <w:rPr>
                <w:rFonts w:ascii="Tahoma" w:hAnsi="Tahoma" w:cs="Tahoma"/>
                <w:color w:val="auto"/>
                <w:sz w:val="18"/>
                <w:szCs w:val="18"/>
              </w:rPr>
              <w:t xml:space="preserve"> FE). Tests Hausman, </w:t>
            </w:r>
            <w:proofErr w:type="spellStart"/>
            <w:r w:rsidRPr="00A1387F">
              <w:rPr>
                <w:rFonts w:ascii="Tahoma" w:hAnsi="Tahoma" w:cs="Tahoma"/>
                <w:color w:val="auto"/>
                <w:sz w:val="18"/>
                <w:szCs w:val="18"/>
              </w:rPr>
              <w:t>Breusch</w:t>
            </w:r>
            <w:proofErr w:type="spellEnd"/>
            <w:r w:rsidRPr="00A1387F">
              <w:rPr>
                <w:rFonts w:ascii="Tahoma" w:hAnsi="Tahoma" w:cs="Tahoma"/>
                <w:color w:val="auto"/>
                <w:sz w:val="18"/>
                <w:szCs w:val="18"/>
              </w:rPr>
              <w:t xml:space="preserve">-Pagan, </w:t>
            </w:r>
            <w:proofErr w:type="spellStart"/>
            <w:r w:rsidRPr="00A1387F">
              <w:rPr>
                <w:rFonts w:ascii="Tahoma" w:hAnsi="Tahoma" w:cs="Tahoma"/>
                <w:color w:val="auto"/>
                <w:sz w:val="18"/>
                <w:szCs w:val="18"/>
              </w:rPr>
              <w:t>Wooldridge</w:t>
            </w:r>
            <w:proofErr w:type="spellEnd"/>
            <w:r w:rsidRPr="00A1387F">
              <w:rPr>
                <w:rFonts w:ascii="Tahoma" w:hAnsi="Tahoma" w:cs="Tahoma"/>
                <w:color w:val="auto"/>
                <w:sz w:val="18"/>
                <w:szCs w:val="18"/>
              </w:rPr>
              <w:t xml:space="preserve"> (hétéroscédasticité, autocorrélation).</w:t>
            </w:r>
          </w:p>
        </w:tc>
        <w:tc>
          <w:tcPr>
            <w:tcW w:w="1905" w:type="dxa"/>
            <w:shd w:val="clear" w:color="auto" w:fill="FFFFFF" w:themeFill="background1"/>
            <w:tcMar>
              <w:top w:w="80" w:type="dxa"/>
              <w:left w:w="120" w:type="dxa"/>
              <w:bottom w:w="80" w:type="dxa"/>
              <w:right w:w="120" w:type="dxa"/>
            </w:tcMar>
            <w:vAlign w:val="center"/>
          </w:tcPr>
          <w:p w14:paraId="1310EC66"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Note risques RBE - Note méthodologique modèle économétrique</w:t>
            </w:r>
          </w:p>
        </w:tc>
      </w:tr>
      <w:tr w:rsidR="00E0788A" w:rsidRPr="00A1387F" w14:paraId="024BE3A0" w14:textId="77777777" w:rsidTr="002265F4">
        <w:tc>
          <w:tcPr>
            <w:tcW w:w="1229" w:type="dxa"/>
            <w:shd w:val="clear" w:color="auto" w:fill="FFFFFF" w:themeFill="background1"/>
            <w:tcMar>
              <w:top w:w="80" w:type="dxa"/>
              <w:left w:w="120" w:type="dxa"/>
              <w:bottom w:w="80" w:type="dxa"/>
              <w:right w:w="120" w:type="dxa"/>
            </w:tcMar>
            <w:vAlign w:val="center"/>
          </w:tcPr>
          <w:p w14:paraId="26614945" w14:textId="77777777" w:rsidR="00E0788A" w:rsidRPr="00A1387F" w:rsidRDefault="00E0788A" w:rsidP="002265F4">
            <w:pPr>
              <w:jc w:val="center"/>
              <w:rPr>
                <w:rFonts w:ascii="Tahoma" w:hAnsi="Tahoma" w:cs="Tahoma"/>
                <w:color w:val="auto"/>
              </w:rPr>
            </w:pPr>
            <w:r w:rsidRPr="00A1387F">
              <w:rPr>
                <w:rFonts w:ascii="Tahoma" w:hAnsi="Tahoma" w:cs="Tahoma"/>
                <w:b/>
                <w:bCs/>
                <w:color w:val="auto"/>
                <w:sz w:val="18"/>
                <w:szCs w:val="18"/>
              </w:rPr>
              <w:t>S9</w:t>
            </w:r>
          </w:p>
        </w:tc>
        <w:tc>
          <w:tcPr>
            <w:tcW w:w="1269" w:type="dxa"/>
            <w:shd w:val="clear" w:color="auto" w:fill="FFFFFF" w:themeFill="background1"/>
            <w:tcMar>
              <w:top w:w="80" w:type="dxa"/>
              <w:left w:w="120" w:type="dxa"/>
              <w:bottom w:w="80" w:type="dxa"/>
              <w:right w:w="120" w:type="dxa"/>
            </w:tcMar>
            <w:vAlign w:val="center"/>
          </w:tcPr>
          <w:p w14:paraId="7D44A21F" w14:textId="77777777" w:rsidR="00E0788A" w:rsidRPr="00A1387F" w:rsidRDefault="00E0788A" w:rsidP="002265F4">
            <w:pPr>
              <w:jc w:val="center"/>
              <w:rPr>
                <w:rFonts w:ascii="Tahoma" w:hAnsi="Tahoma" w:cs="Tahoma"/>
                <w:color w:val="auto"/>
              </w:rPr>
            </w:pPr>
          </w:p>
        </w:tc>
        <w:tc>
          <w:tcPr>
            <w:tcW w:w="2402" w:type="dxa"/>
            <w:shd w:val="clear" w:color="auto" w:fill="FFFFFF" w:themeFill="background1"/>
            <w:tcMar>
              <w:top w:w="80" w:type="dxa"/>
              <w:left w:w="120" w:type="dxa"/>
              <w:bottom w:w="80" w:type="dxa"/>
              <w:right w:w="120" w:type="dxa"/>
            </w:tcMar>
            <w:vAlign w:val="center"/>
          </w:tcPr>
          <w:p w14:paraId="4D0C7918"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Finalisation analyse risques RBE (GAFI, UE, âges atypiques). Estimation volumes EMAPES par analyse miroir (2020–2024).</w:t>
            </w:r>
          </w:p>
        </w:tc>
        <w:tc>
          <w:tcPr>
            <w:tcW w:w="2225" w:type="dxa"/>
            <w:shd w:val="clear" w:color="auto" w:fill="FFFFFF" w:themeFill="background1"/>
            <w:tcMar>
              <w:top w:w="80" w:type="dxa"/>
              <w:left w:w="120" w:type="dxa"/>
              <w:bottom w:w="80" w:type="dxa"/>
              <w:right w:w="120" w:type="dxa"/>
            </w:tcMar>
            <w:vAlign w:val="center"/>
          </w:tcPr>
          <w:p w14:paraId="728E750B"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Tests de robustesse. Analyse des résidus comme signaux d'alerte fiscaux. Benchmark Afrique de l'Ouest (Mali, Burkina Faso, Côte d'Ivoire).</w:t>
            </w:r>
          </w:p>
        </w:tc>
        <w:tc>
          <w:tcPr>
            <w:tcW w:w="1905" w:type="dxa"/>
            <w:shd w:val="clear" w:color="auto" w:fill="FFFFFF" w:themeFill="background1"/>
            <w:tcMar>
              <w:top w:w="80" w:type="dxa"/>
              <w:left w:w="120" w:type="dxa"/>
              <w:bottom w:w="80" w:type="dxa"/>
              <w:right w:w="120" w:type="dxa"/>
            </w:tcMar>
            <w:vAlign w:val="center"/>
          </w:tcPr>
          <w:p w14:paraId="5E2D1357"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Draft note EMAPES - Modèle estimé + scripts Git versionnés</w:t>
            </w:r>
          </w:p>
        </w:tc>
      </w:tr>
      <w:tr w:rsidR="00E0788A" w:rsidRPr="00A1387F" w14:paraId="7EB0CF99" w14:textId="77777777" w:rsidTr="002265F4">
        <w:tc>
          <w:tcPr>
            <w:tcW w:w="1229" w:type="dxa"/>
            <w:shd w:val="clear" w:color="auto" w:fill="FFFFFF" w:themeFill="background1"/>
            <w:tcMar>
              <w:top w:w="80" w:type="dxa"/>
              <w:left w:w="120" w:type="dxa"/>
              <w:bottom w:w="80" w:type="dxa"/>
              <w:right w:w="120" w:type="dxa"/>
            </w:tcMar>
            <w:vAlign w:val="center"/>
          </w:tcPr>
          <w:p w14:paraId="34681DA2" w14:textId="77777777" w:rsidR="00E0788A" w:rsidRPr="00A1387F" w:rsidRDefault="00E0788A" w:rsidP="002265F4">
            <w:pPr>
              <w:jc w:val="center"/>
              <w:rPr>
                <w:rFonts w:ascii="Tahoma" w:hAnsi="Tahoma" w:cs="Tahoma"/>
                <w:color w:val="auto"/>
              </w:rPr>
            </w:pPr>
            <w:r w:rsidRPr="00A1387F">
              <w:rPr>
                <w:rFonts w:ascii="Tahoma" w:hAnsi="Tahoma" w:cs="Tahoma"/>
                <w:b/>
                <w:bCs/>
                <w:color w:val="auto"/>
                <w:sz w:val="18"/>
                <w:szCs w:val="18"/>
              </w:rPr>
              <w:t>S10</w:t>
            </w:r>
            <w:r>
              <w:rPr>
                <w:rFonts w:ascii="Tahoma" w:hAnsi="Tahoma" w:cs="Tahoma"/>
                <w:b/>
                <w:bCs/>
                <w:color w:val="auto"/>
                <w:sz w:val="18"/>
                <w:szCs w:val="18"/>
              </w:rPr>
              <w:t>-</w:t>
            </w:r>
            <w:r w:rsidRPr="00A1387F">
              <w:rPr>
                <w:rFonts w:ascii="Tahoma" w:hAnsi="Tahoma" w:cs="Tahoma"/>
                <w:b/>
                <w:bCs/>
                <w:color w:val="auto"/>
                <w:sz w:val="18"/>
                <w:szCs w:val="18"/>
              </w:rPr>
              <w:t>S11</w:t>
            </w:r>
          </w:p>
        </w:tc>
        <w:tc>
          <w:tcPr>
            <w:tcW w:w="1269" w:type="dxa"/>
            <w:shd w:val="clear" w:color="auto" w:fill="FFFFFF" w:themeFill="background1"/>
            <w:tcMar>
              <w:top w:w="80" w:type="dxa"/>
              <w:left w:w="120" w:type="dxa"/>
              <w:bottom w:w="80" w:type="dxa"/>
              <w:right w:w="120" w:type="dxa"/>
            </w:tcMar>
            <w:vAlign w:val="center"/>
          </w:tcPr>
          <w:p w14:paraId="1945A5A6"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Livrables finaux</w:t>
            </w:r>
          </w:p>
        </w:tc>
        <w:tc>
          <w:tcPr>
            <w:tcW w:w="2402" w:type="dxa"/>
            <w:shd w:val="clear" w:color="auto" w:fill="FFFFFF" w:themeFill="background1"/>
            <w:tcMar>
              <w:top w:w="80" w:type="dxa"/>
              <w:left w:w="120" w:type="dxa"/>
              <w:bottom w:w="80" w:type="dxa"/>
              <w:right w:w="120" w:type="dxa"/>
            </w:tcMar>
            <w:vAlign w:val="center"/>
          </w:tcPr>
          <w:p w14:paraId="1FF09AF6"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Rédaction rapport RBE final + rapport EMAPES final. Dashboard Power BI RBE interactif.</w:t>
            </w:r>
          </w:p>
        </w:tc>
        <w:tc>
          <w:tcPr>
            <w:tcW w:w="2225" w:type="dxa"/>
            <w:shd w:val="clear" w:color="auto" w:fill="FFFFFF" w:themeFill="background1"/>
            <w:tcMar>
              <w:top w:w="80" w:type="dxa"/>
              <w:left w:w="120" w:type="dxa"/>
              <w:bottom w:w="80" w:type="dxa"/>
              <w:right w:w="120" w:type="dxa"/>
            </w:tcMar>
            <w:vAlign w:val="center"/>
          </w:tcPr>
          <w:p w14:paraId="6C75980C"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Rédaction rapport de modélisation. Dashboard Power BI coûts observés/prédits + signaux d'alerte.</w:t>
            </w:r>
          </w:p>
        </w:tc>
        <w:tc>
          <w:tcPr>
            <w:tcW w:w="1905" w:type="dxa"/>
            <w:shd w:val="clear" w:color="auto" w:fill="FFFFFF" w:themeFill="background1"/>
            <w:tcMar>
              <w:top w:w="80" w:type="dxa"/>
              <w:left w:w="120" w:type="dxa"/>
              <w:bottom w:w="80" w:type="dxa"/>
              <w:right w:w="120" w:type="dxa"/>
            </w:tcMar>
            <w:vAlign w:val="center"/>
          </w:tcPr>
          <w:p w14:paraId="7656E58A"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Rapports v1 soumis à l'encadrant pour révision</w:t>
            </w:r>
          </w:p>
        </w:tc>
      </w:tr>
      <w:tr w:rsidR="00E0788A" w:rsidRPr="00A1387F" w14:paraId="283E317C" w14:textId="77777777" w:rsidTr="002265F4">
        <w:tc>
          <w:tcPr>
            <w:tcW w:w="1229" w:type="dxa"/>
            <w:shd w:val="clear" w:color="auto" w:fill="FFFFFF" w:themeFill="background1"/>
            <w:tcMar>
              <w:top w:w="80" w:type="dxa"/>
              <w:left w:w="120" w:type="dxa"/>
              <w:bottom w:w="80" w:type="dxa"/>
              <w:right w:w="120" w:type="dxa"/>
            </w:tcMar>
            <w:vAlign w:val="center"/>
          </w:tcPr>
          <w:p w14:paraId="60191325" w14:textId="77777777" w:rsidR="00E0788A" w:rsidRPr="00A1387F" w:rsidRDefault="00E0788A" w:rsidP="002265F4">
            <w:pPr>
              <w:jc w:val="center"/>
              <w:rPr>
                <w:rFonts w:ascii="Tahoma" w:hAnsi="Tahoma" w:cs="Tahoma"/>
                <w:color w:val="auto"/>
              </w:rPr>
            </w:pPr>
            <w:r w:rsidRPr="00A1387F">
              <w:rPr>
                <w:rFonts w:ascii="Tahoma" w:hAnsi="Tahoma" w:cs="Tahoma"/>
                <w:b/>
                <w:bCs/>
                <w:color w:val="auto"/>
                <w:sz w:val="18"/>
                <w:szCs w:val="18"/>
              </w:rPr>
              <w:t>S12</w:t>
            </w:r>
          </w:p>
        </w:tc>
        <w:tc>
          <w:tcPr>
            <w:tcW w:w="1269" w:type="dxa"/>
            <w:shd w:val="clear" w:color="auto" w:fill="FFFFFF" w:themeFill="background1"/>
            <w:tcMar>
              <w:top w:w="80" w:type="dxa"/>
              <w:left w:w="120" w:type="dxa"/>
              <w:bottom w:w="80" w:type="dxa"/>
              <w:right w:w="120" w:type="dxa"/>
            </w:tcMar>
            <w:vAlign w:val="center"/>
          </w:tcPr>
          <w:p w14:paraId="3D00684E" w14:textId="77777777" w:rsidR="00E0788A" w:rsidRPr="00A1387F" w:rsidRDefault="00E0788A" w:rsidP="002265F4">
            <w:pPr>
              <w:jc w:val="center"/>
              <w:rPr>
                <w:rFonts w:ascii="Tahoma" w:hAnsi="Tahoma" w:cs="Tahoma"/>
                <w:color w:val="auto"/>
              </w:rPr>
            </w:pPr>
          </w:p>
        </w:tc>
        <w:tc>
          <w:tcPr>
            <w:tcW w:w="2402" w:type="dxa"/>
            <w:shd w:val="clear" w:color="auto" w:fill="FFFFFF" w:themeFill="background1"/>
            <w:tcMar>
              <w:top w:w="80" w:type="dxa"/>
              <w:left w:w="120" w:type="dxa"/>
              <w:bottom w:w="80" w:type="dxa"/>
              <w:right w:w="120" w:type="dxa"/>
            </w:tcMar>
            <w:vAlign w:val="center"/>
          </w:tcPr>
          <w:p w14:paraId="53AE4776"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 xml:space="preserve">Intégration des </w:t>
            </w:r>
            <w:r>
              <w:rPr>
                <w:rFonts w:ascii="Tahoma" w:hAnsi="Tahoma" w:cs="Tahoma"/>
                <w:color w:val="auto"/>
                <w:sz w:val="18"/>
                <w:szCs w:val="18"/>
              </w:rPr>
              <w:t>observations et fi</w:t>
            </w:r>
            <w:r w:rsidRPr="00A1387F">
              <w:rPr>
                <w:rFonts w:ascii="Tahoma" w:hAnsi="Tahoma" w:cs="Tahoma"/>
                <w:color w:val="auto"/>
                <w:sz w:val="18"/>
                <w:szCs w:val="18"/>
              </w:rPr>
              <w:t>nalisation.</w:t>
            </w:r>
          </w:p>
        </w:tc>
        <w:tc>
          <w:tcPr>
            <w:tcW w:w="2225" w:type="dxa"/>
            <w:shd w:val="clear" w:color="auto" w:fill="FFFFFF" w:themeFill="background1"/>
            <w:tcMar>
              <w:top w:w="80" w:type="dxa"/>
              <w:left w:w="120" w:type="dxa"/>
              <w:bottom w:w="80" w:type="dxa"/>
              <w:right w:w="120" w:type="dxa"/>
            </w:tcMar>
            <w:vAlign w:val="center"/>
          </w:tcPr>
          <w:p w14:paraId="5FF84C83" w14:textId="77777777" w:rsidR="00E0788A" w:rsidRPr="00A1387F" w:rsidRDefault="00E0788A" w:rsidP="002265F4">
            <w:pPr>
              <w:jc w:val="center"/>
              <w:rPr>
                <w:rFonts w:ascii="Tahoma" w:hAnsi="Tahoma" w:cs="Tahoma"/>
                <w:color w:val="auto"/>
              </w:rPr>
            </w:pPr>
            <w:r w:rsidRPr="00A1387F">
              <w:rPr>
                <w:rFonts w:ascii="Tahoma" w:hAnsi="Tahoma" w:cs="Tahoma"/>
                <w:color w:val="auto"/>
                <w:sz w:val="18"/>
                <w:szCs w:val="18"/>
              </w:rPr>
              <w:t xml:space="preserve">Intégration des </w:t>
            </w:r>
            <w:r>
              <w:rPr>
                <w:rFonts w:ascii="Tahoma" w:hAnsi="Tahoma" w:cs="Tahoma"/>
                <w:color w:val="auto"/>
                <w:sz w:val="18"/>
                <w:szCs w:val="18"/>
              </w:rPr>
              <w:t>observations et f</w:t>
            </w:r>
            <w:r w:rsidRPr="00A1387F">
              <w:rPr>
                <w:rFonts w:ascii="Tahoma" w:hAnsi="Tahoma" w:cs="Tahoma"/>
                <w:color w:val="auto"/>
                <w:sz w:val="18"/>
                <w:szCs w:val="18"/>
              </w:rPr>
              <w:t>inalisation.</w:t>
            </w:r>
          </w:p>
        </w:tc>
        <w:tc>
          <w:tcPr>
            <w:tcW w:w="1905" w:type="dxa"/>
            <w:shd w:val="clear" w:color="auto" w:fill="FFFFFF" w:themeFill="background1"/>
            <w:tcMar>
              <w:top w:w="80" w:type="dxa"/>
              <w:left w:w="120" w:type="dxa"/>
              <w:bottom w:w="80" w:type="dxa"/>
              <w:right w:w="120" w:type="dxa"/>
            </w:tcMar>
            <w:vAlign w:val="center"/>
          </w:tcPr>
          <w:p w14:paraId="539C24D7" w14:textId="77777777" w:rsidR="00E0788A" w:rsidRPr="00A1387F" w:rsidRDefault="00E0788A" w:rsidP="002265F4">
            <w:pPr>
              <w:jc w:val="center"/>
              <w:rPr>
                <w:rFonts w:ascii="Tahoma" w:hAnsi="Tahoma" w:cs="Tahoma"/>
                <w:color w:val="auto"/>
              </w:rPr>
            </w:pPr>
            <w:r>
              <w:rPr>
                <w:rFonts w:ascii="Tahoma" w:hAnsi="Tahoma" w:cs="Tahoma"/>
                <w:color w:val="auto"/>
                <w:sz w:val="18"/>
                <w:szCs w:val="18"/>
              </w:rPr>
              <w:t>Remise</w:t>
            </w:r>
            <w:r w:rsidRPr="00A1387F">
              <w:rPr>
                <w:rFonts w:ascii="Tahoma" w:hAnsi="Tahoma" w:cs="Tahoma"/>
                <w:color w:val="auto"/>
                <w:sz w:val="18"/>
                <w:szCs w:val="18"/>
              </w:rPr>
              <w:t xml:space="preserve"> des livrables définitifs</w:t>
            </w:r>
          </w:p>
        </w:tc>
      </w:tr>
    </w:tbl>
    <w:p w14:paraId="74FD32AB" w14:textId="77777777" w:rsidR="00E0788A" w:rsidRDefault="00E0788A" w:rsidP="00E0788A">
      <w:pPr>
        <w:spacing w:before="40" w:after="40"/>
        <w:rPr>
          <w:rFonts w:ascii="Tahoma" w:hAnsi="Tahoma" w:cs="Tahoma"/>
        </w:rPr>
      </w:pPr>
    </w:p>
    <w:p w14:paraId="308DB50C" w14:textId="77777777" w:rsidR="00E0788A" w:rsidRDefault="00E0788A" w:rsidP="00E0788A">
      <w:pPr>
        <w:spacing w:before="40" w:after="40"/>
        <w:rPr>
          <w:rFonts w:ascii="Tahoma" w:hAnsi="Tahoma" w:cs="Tahoma"/>
        </w:rPr>
      </w:pPr>
    </w:p>
    <w:tbl>
      <w:tblPr>
        <w:tblW w:w="903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30"/>
      </w:tblGrid>
      <w:tr w:rsidR="00E0788A" w:rsidRPr="00A1387F" w14:paraId="605A15F6" w14:textId="77777777" w:rsidTr="002265F4">
        <w:tc>
          <w:tcPr>
            <w:tcW w:w="9030" w:type="dxa"/>
            <w:tcBorders>
              <w:top w:val="single" w:sz="1" w:space="0" w:color="2E75B6"/>
              <w:left w:val="single" w:sz="1" w:space="0" w:color="2E75B6"/>
              <w:bottom w:val="single" w:sz="1" w:space="0" w:color="2E75B6"/>
              <w:right w:val="single" w:sz="1" w:space="0" w:color="2E75B6"/>
            </w:tcBorders>
            <w:shd w:val="clear" w:color="auto" w:fill="1F4E79"/>
            <w:tcMar>
              <w:top w:w="120" w:type="dxa"/>
              <w:left w:w="240" w:type="dxa"/>
              <w:bottom w:w="120" w:type="dxa"/>
              <w:right w:w="240" w:type="dxa"/>
            </w:tcMar>
          </w:tcPr>
          <w:p w14:paraId="476748A1" w14:textId="77777777" w:rsidR="00E0788A" w:rsidRPr="00A1387F" w:rsidRDefault="00E0788A" w:rsidP="002265F4">
            <w:pPr>
              <w:rPr>
                <w:rFonts w:ascii="Tahoma" w:hAnsi="Tahoma" w:cs="Tahoma"/>
              </w:rPr>
            </w:pPr>
            <w:r w:rsidRPr="00A1387F">
              <w:rPr>
                <w:rFonts w:ascii="Tahoma" w:hAnsi="Tahoma" w:cs="Tahoma"/>
                <w:b/>
                <w:bCs/>
                <w:color w:val="C7922A"/>
                <w:sz w:val="28"/>
                <w:szCs w:val="28"/>
              </w:rPr>
              <w:lastRenderedPageBreak/>
              <w:t xml:space="preserve">IV. </w:t>
            </w:r>
            <w:r w:rsidRPr="00A1387F">
              <w:rPr>
                <w:rFonts w:ascii="Tahoma" w:hAnsi="Tahoma" w:cs="Tahoma"/>
                <w:b/>
                <w:bCs/>
                <w:color w:val="FFFFFF"/>
                <w:sz w:val="28"/>
                <w:szCs w:val="28"/>
              </w:rPr>
              <w:t>REGISTRE DES BÉNÉFICIAIRES EFFECTIFS (RBE)</w:t>
            </w:r>
          </w:p>
        </w:tc>
      </w:tr>
    </w:tbl>
    <w:p w14:paraId="7B097786" w14:textId="77777777" w:rsidR="00E0788A" w:rsidRPr="00A1387F" w:rsidRDefault="00E0788A" w:rsidP="00E0788A">
      <w:pPr>
        <w:spacing w:before="40" w:after="40"/>
        <w:rPr>
          <w:rFonts w:ascii="Tahoma" w:hAnsi="Tahoma" w:cs="Taho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0788A" w:rsidRPr="00A1387F" w14:paraId="3DCDD5C9" w14:textId="77777777" w:rsidTr="002265F4">
        <w:tc>
          <w:tcPr>
            <w:tcW w:w="9026" w:type="dxa"/>
            <w:tcBorders>
              <w:top w:val="single" w:sz="1" w:space="0" w:color="2E75B6"/>
              <w:left w:val="single" w:sz="1" w:space="0" w:color="2E75B6"/>
              <w:bottom w:val="single" w:sz="1" w:space="0" w:color="2E75B6"/>
              <w:right w:val="single" w:sz="1" w:space="0" w:color="2E75B6"/>
            </w:tcBorders>
            <w:shd w:val="clear" w:color="auto" w:fill="EBF3FA"/>
            <w:tcMar>
              <w:top w:w="80" w:type="dxa"/>
              <w:left w:w="200" w:type="dxa"/>
              <w:bottom w:w="80" w:type="dxa"/>
              <w:right w:w="200" w:type="dxa"/>
            </w:tcMar>
          </w:tcPr>
          <w:p w14:paraId="353B44DE" w14:textId="77777777" w:rsidR="00E0788A" w:rsidRPr="00A1387F" w:rsidRDefault="00E0788A" w:rsidP="002265F4">
            <w:pPr>
              <w:jc w:val="center"/>
              <w:rPr>
                <w:rFonts w:ascii="Tahoma" w:hAnsi="Tahoma" w:cs="Tahoma"/>
              </w:rPr>
            </w:pPr>
            <w:r w:rsidRPr="00A1387F">
              <w:rPr>
                <w:rFonts w:ascii="Tahoma" w:hAnsi="Tahoma" w:cs="Tahoma"/>
                <w:b/>
                <w:bCs/>
                <w:i/>
                <w:iCs/>
                <w:color w:val="1F4E79"/>
                <w:sz w:val="21"/>
                <w:szCs w:val="21"/>
              </w:rPr>
              <w:t xml:space="preserve">Responsabilité conjointe : M. Rachid + M. </w:t>
            </w:r>
            <w:proofErr w:type="spellStart"/>
            <w:r w:rsidRPr="00A1387F">
              <w:rPr>
                <w:rFonts w:ascii="Tahoma" w:hAnsi="Tahoma" w:cs="Tahoma"/>
                <w:b/>
                <w:bCs/>
                <w:i/>
                <w:iCs/>
                <w:color w:val="1F4E79"/>
                <w:sz w:val="21"/>
                <w:szCs w:val="21"/>
              </w:rPr>
              <w:t>Bamogo</w:t>
            </w:r>
            <w:proofErr w:type="spellEnd"/>
          </w:p>
        </w:tc>
      </w:tr>
    </w:tbl>
    <w:p w14:paraId="1C8F5165" w14:textId="77777777" w:rsidR="00E0788A" w:rsidRPr="00A1387F" w:rsidRDefault="00E0788A" w:rsidP="00E0788A">
      <w:pPr>
        <w:pStyle w:val="Titre2"/>
        <w:rPr>
          <w:rFonts w:ascii="Tahoma" w:hAnsi="Tahoma" w:cs="Tahoma"/>
          <w:color w:val="auto"/>
        </w:rPr>
      </w:pPr>
      <w:r w:rsidRPr="00A1387F">
        <w:rPr>
          <w:rFonts w:ascii="Tahoma" w:hAnsi="Tahoma" w:cs="Tahoma"/>
          <w:color w:val="auto"/>
        </w:rPr>
        <w:t>4.1. Cadre normatif</w:t>
      </w:r>
    </w:p>
    <w:p w14:paraId="41324D35"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L'exigence 2.5 du Standard ITIE 2023 impose la divulgation de l'identité des bénéficiaires effectifs de toutes les sociétés extractives détentrices de licences actives. Au sens du décret n° 2020-791 du 19 mars 2020 portant application de la loi n° 2018-03 relative à la lutte contre le blanchiment de capitaux, constitue un bénéficiaire effectif toute personne physique qui, en dernier ressort, possède ou contrôle une entité juridique directement ou indirectement, le seuil de déclenchement étant fixé à 10 % du capital ou des droits de vote pour le secteur extractif.</w:t>
      </w:r>
    </w:p>
    <w:p w14:paraId="41C8C8F7"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Le diagnostic OE de 2024 a révélé des lacunes justifiant la priorité accordée aux sociétés sans déclaration effective, qualité insuffisante des données disponibles pour les sociétés déclarantes, absence d'identifiants communs permettant le croisement automatique entre le RBE et les autres registres administratifs.</w:t>
      </w:r>
    </w:p>
    <w:p w14:paraId="4ED275FC" w14:textId="77777777" w:rsidR="00E0788A" w:rsidRPr="00A1387F" w:rsidRDefault="00E0788A" w:rsidP="00E0788A">
      <w:pPr>
        <w:pStyle w:val="Titre2"/>
        <w:rPr>
          <w:rFonts w:ascii="Tahoma" w:hAnsi="Tahoma" w:cs="Tahoma"/>
          <w:color w:val="auto"/>
        </w:rPr>
      </w:pPr>
      <w:r w:rsidRPr="00A1387F">
        <w:rPr>
          <w:rFonts w:ascii="Tahoma" w:hAnsi="Tahoma" w:cs="Tahoma"/>
          <w:color w:val="auto"/>
        </w:rPr>
        <w:t>4.2. Objectifs</w:t>
      </w:r>
    </w:p>
    <w:p w14:paraId="7B051E9B"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Mener des enquêtes de terrain et des démarches administratives auprès des structures concernées pour identifier les raisons des manquements et obtenir la transmission des formulaires manquants ;</w:t>
      </w:r>
    </w:p>
    <w:p w14:paraId="0E742D41"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Combler les lacunes identifiées par le programme OE en complétant les déclarations des 12 sociétés défaillantes ;</w:t>
      </w:r>
    </w:p>
    <w:p w14:paraId="19F8BD5B"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Enrichir la qualité des données pour toutes les sociétés déclarantes : ajout des champs manquants - pays de résidence du bénéficiaire effectif, statut PPE conforme aux recommandations GAFI 2023, cotation boursière (nom de la bourse, numéro ISIN, lien vers les dépôts réglementaires) ;</w:t>
      </w:r>
    </w:p>
    <w:p w14:paraId="7684FC02"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Mettre en place des identifiants uniques permettant le croisement automatique entre le RBE, le registre des licences minières (</w:t>
      </w:r>
      <w:proofErr w:type="spellStart"/>
      <w:r w:rsidRPr="00A1387F">
        <w:rPr>
          <w:rFonts w:ascii="Tahoma" w:hAnsi="Tahoma" w:cs="Tahoma"/>
          <w:color w:val="auto"/>
        </w:rPr>
        <w:t>Landfolio</w:t>
      </w:r>
      <w:proofErr w:type="spellEnd"/>
      <w:r w:rsidRPr="00A1387F">
        <w:rPr>
          <w:rFonts w:ascii="Tahoma" w:hAnsi="Tahoma" w:cs="Tahoma"/>
          <w:color w:val="auto"/>
        </w:rPr>
        <w:t>) et les formulaires de déclaration ITIE ;</w:t>
      </w:r>
    </w:p>
    <w:p w14:paraId="66C4E285"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Conduire l'analyse des risques définie par le programme OE selon le protocole opérationnel détaillé à la section 4.4.</w:t>
      </w:r>
    </w:p>
    <w:p w14:paraId="2A32E3A8" w14:textId="77777777" w:rsidR="00E0788A" w:rsidRPr="00A1387F" w:rsidRDefault="00E0788A" w:rsidP="00E0788A">
      <w:pPr>
        <w:pStyle w:val="Titre2"/>
        <w:rPr>
          <w:rFonts w:ascii="Tahoma" w:hAnsi="Tahoma" w:cs="Tahoma"/>
          <w:color w:val="auto"/>
        </w:rPr>
      </w:pPr>
      <w:r w:rsidRPr="00A1387F">
        <w:rPr>
          <w:rFonts w:ascii="Tahoma" w:hAnsi="Tahoma" w:cs="Tahoma"/>
          <w:color w:val="auto"/>
        </w:rPr>
        <w:t xml:space="preserve">4.3. Architecture de la base </w:t>
      </w:r>
    </w:p>
    <w:p w14:paraId="7D54679D"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La base RBE sera structurée en trois</w:t>
      </w:r>
      <w:r>
        <w:rPr>
          <w:rFonts w:ascii="Tahoma" w:hAnsi="Tahoma" w:cs="Tahoma"/>
          <w:color w:val="auto"/>
        </w:rPr>
        <w:t xml:space="preserve"> (03)</w:t>
      </w:r>
      <w:r w:rsidRPr="00A1387F">
        <w:rPr>
          <w:rFonts w:ascii="Tahoma" w:hAnsi="Tahoma" w:cs="Tahoma"/>
          <w:color w:val="auto"/>
        </w:rPr>
        <w:t xml:space="preserve"> tables normalisées permettant la reconstitution par requête des chaînes de détention de longueur arbitraire et le calcul des participations indirectes cumulées.</w:t>
      </w:r>
    </w:p>
    <w:p w14:paraId="2A17EC18" w14:textId="77777777" w:rsidR="00E0788A" w:rsidRPr="00EB27EF" w:rsidRDefault="00E0788A" w:rsidP="00E0788A">
      <w:pPr>
        <w:pStyle w:val="Paragraphedeliste"/>
        <w:numPr>
          <w:ilvl w:val="0"/>
          <w:numId w:val="3"/>
        </w:numPr>
        <w:spacing w:before="180" w:after="80"/>
        <w:rPr>
          <w:rFonts w:ascii="Tahoma" w:hAnsi="Tahoma" w:cs="Tahoma"/>
          <w:color w:val="auto"/>
        </w:rPr>
      </w:pPr>
      <w:r w:rsidRPr="00EB27EF">
        <w:rPr>
          <w:rFonts w:ascii="Tahoma" w:hAnsi="Tahoma" w:cs="Tahoma"/>
          <w:b/>
          <w:bCs/>
          <w:color w:val="auto"/>
        </w:rPr>
        <w:t>Table Entités</w:t>
      </w:r>
    </w:p>
    <w:p w14:paraId="72C92A82"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 xml:space="preserve">Identifiant unique </w:t>
      </w:r>
      <w:proofErr w:type="spellStart"/>
      <w:r w:rsidRPr="00A1387F">
        <w:rPr>
          <w:rFonts w:ascii="Tahoma" w:hAnsi="Tahoma" w:cs="Tahoma"/>
          <w:color w:val="auto"/>
        </w:rPr>
        <w:t>Entite_ID</w:t>
      </w:r>
      <w:proofErr w:type="spellEnd"/>
      <w:r w:rsidRPr="00A1387F">
        <w:rPr>
          <w:rFonts w:ascii="Tahoma" w:hAnsi="Tahoma" w:cs="Tahoma"/>
          <w:color w:val="auto"/>
        </w:rPr>
        <w:t xml:space="preserve"> (format UUID), dénomination officielle, forme juridique, juridiction d'incorporation, numéro RCCM, numéro ISIN le cas échéant, lien vers les dépôts boursiers, statut de la licence minière.</w:t>
      </w:r>
    </w:p>
    <w:p w14:paraId="2A70BC9B" w14:textId="77777777" w:rsidR="00E0788A" w:rsidRPr="00A1387F" w:rsidRDefault="00E0788A" w:rsidP="00E0788A">
      <w:pPr>
        <w:pStyle w:val="Paragraphedeliste"/>
        <w:numPr>
          <w:ilvl w:val="0"/>
          <w:numId w:val="3"/>
        </w:numPr>
        <w:spacing w:before="180" w:after="80"/>
        <w:rPr>
          <w:rFonts w:ascii="Tahoma" w:hAnsi="Tahoma" w:cs="Tahoma"/>
          <w:color w:val="auto"/>
        </w:rPr>
      </w:pPr>
      <w:r w:rsidRPr="00A1387F">
        <w:rPr>
          <w:rFonts w:ascii="Tahoma" w:hAnsi="Tahoma" w:cs="Tahoma"/>
          <w:b/>
          <w:bCs/>
          <w:color w:val="auto"/>
        </w:rPr>
        <w:t>Table Personnes</w:t>
      </w:r>
    </w:p>
    <w:p w14:paraId="4200580E"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lastRenderedPageBreak/>
        <w:t>Identifiant unique BE_ID (format UUID), nom, prénom(s), nationalité(s), pays de résidence fiscale, date de naissance, statut PPE conforme aux recommandations GAFI (catégorie, périmètre géographique, source documentaire).</w:t>
      </w:r>
    </w:p>
    <w:p w14:paraId="223EF172" w14:textId="77777777" w:rsidR="00E0788A" w:rsidRPr="00A1387F" w:rsidRDefault="00E0788A" w:rsidP="00E0788A">
      <w:pPr>
        <w:pStyle w:val="Paragraphedeliste"/>
        <w:numPr>
          <w:ilvl w:val="0"/>
          <w:numId w:val="3"/>
        </w:numPr>
        <w:spacing w:before="180" w:after="80"/>
        <w:rPr>
          <w:rFonts w:ascii="Tahoma" w:hAnsi="Tahoma" w:cs="Tahoma"/>
          <w:color w:val="auto"/>
        </w:rPr>
      </w:pPr>
      <w:r w:rsidRPr="00A1387F">
        <w:rPr>
          <w:rFonts w:ascii="Tahoma" w:hAnsi="Tahoma" w:cs="Tahoma"/>
          <w:b/>
          <w:bCs/>
          <w:color w:val="auto"/>
        </w:rPr>
        <w:t>Table Relations</w:t>
      </w:r>
    </w:p>
    <w:p w14:paraId="63C16C84"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Liens de détention entre entités et entre entités et personnes physiques : pourcentage de participation directe, nature du contrôle (capital, droits de vote, pouvoir de nomination au conseil d'administration, autre influence déterminante), date de prise d'effet, date d'expiration éventuelle, source documentaire.</w:t>
      </w:r>
    </w:p>
    <w:p w14:paraId="0E6CF672" w14:textId="77777777" w:rsidR="00E0788A" w:rsidRPr="00A1387F" w:rsidRDefault="00E0788A" w:rsidP="00E0788A">
      <w:pPr>
        <w:pStyle w:val="Titre2"/>
        <w:rPr>
          <w:rFonts w:ascii="Tahoma" w:hAnsi="Tahoma" w:cs="Tahoma"/>
          <w:color w:val="auto"/>
        </w:rPr>
      </w:pPr>
      <w:r w:rsidRPr="00A1387F">
        <w:rPr>
          <w:rFonts w:ascii="Tahoma" w:hAnsi="Tahoma" w:cs="Tahoma"/>
          <w:color w:val="auto"/>
        </w:rPr>
        <w:t>4.4. Protocole d'analyse des risques</w:t>
      </w:r>
    </w:p>
    <w:p w14:paraId="05373BE0"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Les deux stagiaires conduiront conjointement les quatre axes d'analyse de risques définis par le programme OE.</w:t>
      </w:r>
    </w:p>
    <w:p w14:paraId="3300A64A" w14:textId="77777777" w:rsidR="00E0788A" w:rsidRPr="00A1387F" w:rsidRDefault="00E0788A" w:rsidP="00E0788A">
      <w:pPr>
        <w:pStyle w:val="Paragraphedeliste"/>
        <w:numPr>
          <w:ilvl w:val="0"/>
          <w:numId w:val="3"/>
        </w:numPr>
        <w:spacing w:before="180" w:after="80"/>
        <w:rPr>
          <w:rFonts w:ascii="Tahoma" w:hAnsi="Tahoma" w:cs="Tahoma"/>
          <w:color w:val="auto"/>
        </w:rPr>
      </w:pPr>
      <w:r w:rsidRPr="00A1387F">
        <w:rPr>
          <w:rFonts w:ascii="Tahoma" w:hAnsi="Tahoma" w:cs="Tahoma"/>
          <w:b/>
          <w:bCs/>
          <w:color w:val="auto"/>
        </w:rPr>
        <w:t>Axe 1 - Analyse des âges atypiques</w:t>
      </w:r>
    </w:p>
    <w:p w14:paraId="3AF83B47"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Identification et investigation systématique des bénéficiaires effectifs dans les tranches d'âge 10–19 ans et au-delà de 80 ans. Pour chaque cas atypique, vérification de la cohérence avec les documents juridiques constitutifs et signalement motivé à l'encadrant.</w:t>
      </w:r>
    </w:p>
    <w:p w14:paraId="6006D6D4" w14:textId="77777777" w:rsidR="00E0788A" w:rsidRPr="00A1387F" w:rsidRDefault="00E0788A" w:rsidP="00E0788A">
      <w:pPr>
        <w:pStyle w:val="Paragraphedeliste"/>
        <w:numPr>
          <w:ilvl w:val="0"/>
          <w:numId w:val="3"/>
        </w:numPr>
        <w:spacing w:before="180" w:after="80"/>
        <w:rPr>
          <w:rFonts w:ascii="Tahoma" w:hAnsi="Tahoma" w:cs="Tahoma"/>
          <w:color w:val="auto"/>
        </w:rPr>
      </w:pPr>
      <w:r w:rsidRPr="00A1387F">
        <w:rPr>
          <w:rFonts w:ascii="Tahoma" w:hAnsi="Tahoma" w:cs="Tahoma"/>
          <w:b/>
          <w:bCs/>
          <w:color w:val="auto"/>
        </w:rPr>
        <w:t>Axe 2 - Analyse GAFI liste grise</w:t>
      </w:r>
    </w:p>
    <w:p w14:paraId="016C5A29"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Croisement systématique des nationalités et pays de résidence des bénéficiaires effectifs avec la liste grise en vigueur du Groupe d'Action Financière (GAFI), mise à jour trimestrielle. Calcul du ratio GAFI par entreprise (nombre de BE sur liste grise / nombre total de BE). Rédaction de fiches d'alerte pour les entreprises dont ce ratio excède 25 %.</w:t>
      </w:r>
    </w:p>
    <w:p w14:paraId="34CB93E3" w14:textId="77777777" w:rsidR="00E0788A" w:rsidRPr="00A1387F" w:rsidRDefault="00E0788A" w:rsidP="00E0788A">
      <w:pPr>
        <w:pStyle w:val="Paragraphedeliste"/>
        <w:numPr>
          <w:ilvl w:val="0"/>
          <w:numId w:val="3"/>
        </w:numPr>
        <w:spacing w:before="180" w:after="80"/>
        <w:rPr>
          <w:rFonts w:ascii="Tahoma" w:hAnsi="Tahoma" w:cs="Tahoma"/>
          <w:color w:val="auto"/>
        </w:rPr>
      </w:pPr>
      <w:r w:rsidRPr="00A1387F">
        <w:rPr>
          <w:rFonts w:ascii="Tahoma" w:hAnsi="Tahoma" w:cs="Tahoma"/>
          <w:b/>
          <w:bCs/>
          <w:color w:val="auto"/>
        </w:rPr>
        <w:t>Axe 3 - Analyse juridictions à haut risque UE</w:t>
      </w:r>
    </w:p>
    <w:p w14:paraId="00F53FC4"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Même protocole appliqué à la liste des pays et territoires non coopératifs de l'Union Européenne en matière fiscale, avec une attention particulière aux entreprises présentant un ratio de 100 % de leurs bénéficiaires effectifs résidant dans ces juridictions.</w:t>
      </w:r>
    </w:p>
    <w:p w14:paraId="5B9BE814" w14:textId="77777777" w:rsidR="00E0788A" w:rsidRPr="00A1387F" w:rsidRDefault="00E0788A" w:rsidP="00E0788A">
      <w:pPr>
        <w:pStyle w:val="Paragraphedeliste"/>
        <w:numPr>
          <w:ilvl w:val="0"/>
          <w:numId w:val="3"/>
        </w:numPr>
        <w:spacing w:before="180" w:after="80"/>
        <w:rPr>
          <w:rFonts w:ascii="Tahoma" w:hAnsi="Tahoma" w:cs="Tahoma"/>
          <w:color w:val="auto"/>
        </w:rPr>
      </w:pPr>
      <w:r w:rsidRPr="00A1387F">
        <w:rPr>
          <w:rFonts w:ascii="Tahoma" w:hAnsi="Tahoma" w:cs="Tahoma"/>
          <w:b/>
          <w:bCs/>
          <w:color w:val="auto"/>
        </w:rPr>
        <w:t>Axe 4 - Analyse des structures de contrôle</w:t>
      </w:r>
    </w:p>
    <w:p w14:paraId="07232D5C"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Détection des structures opaques via analyse de réseau : identification des holdings intermédiaires situés dans des juridictions à fiscalité privilégiée au sens de l'article 25 du Code Général des Impôts sénégalais. Mesure de la concentration du capital extractif par bénéficiaire effectif ultime. Croisement avec les registres de fonctionnaires et d'élus pour la détection des conflits d'intérêts potentiels.</w:t>
      </w:r>
    </w:p>
    <w:p w14:paraId="6B8FE0D6" w14:textId="77777777" w:rsidR="00E0788A" w:rsidRPr="00A1387F" w:rsidRDefault="00E0788A" w:rsidP="00E0788A">
      <w:pPr>
        <w:pStyle w:val="Titre2"/>
        <w:rPr>
          <w:rFonts w:ascii="Tahoma" w:hAnsi="Tahoma" w:cs="Tahoma"/>
          <w:color w:val="auto"/>
        </w:rPr>
      </w:pPr>
      <w:r w:rsidRPr="00A1387F">
        <w:rPr>
          <w:rFonts w:ascii="Tahoma" w:hAnsi="Tahoma" w:cs="Tahoma"/>
          <w:color w:val="auto"/>
        </w:rPr>
        <w:t>4.5. Sources de données</w:t>
      </w:r>
    </w:p>
    <w:p w14:paraId="09B15759"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Base RBE existante du CN-ITIE (source interne) ;</w:t>
      </w:r>
    </w:p>
    <w:p w14:paraId="7370B07E"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Formulaires de déclaration ITIE 2024, Annexes 1 et 3 - source primaire obligatoire, prévalant sur toute autre source ;</w:t>
      </w:r>
    </w:p>
    <w:p w14:paraId="452FD6B2"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Statuts et actes modificatifs déposés au (RCCM) ;</w:t>
      </w:r>
    </w:p>
    <w:p w14:paraId="574C4D7E"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Déclarations de bénéficiaires effectifs déposées auprès des autorités compétentes ;</w:t>
      </w:r>
    </w:p>
    <w:p w14:paraId="2545CB05"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Rapports annuels et documents réglementaires des sociétés extractives cotées ;</w:t>
      </w:r>
    </w:p>
    <w:p w14:paraId="018A360B"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 xml:space="preserve">Bases de données commerciales : Orbis/Bureau Van Dijk, </w:t>
      </w:r>
      <w:proofErr w:type="spellStart"/>
      <w:r w:rsidRPr="00A1387F">
        <w:rPr>
          <w:rFonts w:ascii="Tahoma" w:hAnsi="Tahoma" w:cs="Tahoma"/>
          <w:color w:val="auto"/>
        </w:rPr>
        <w:t>OpenOwnership</w:t>
      </w:r>
      <w:proofErr w:type="spellEnd"/>
      <w:r w:rsidRPr="00A1387F">
        <w:rPr>
          <w:rFonts w:ascii="Tahoma" w:hAnsi="Tahoma" w:cs="Tahoma"/>
          <w:color w:val="auto"/>
        </w:rPr>
        <w:t xml:space="preserve">, ICIJ Offshore </w:t>
      </w:r>
      <w:proofErr w:type="spellStart"/>
      <w:r w:rsidRPr="00A1387F">
        <w:rPr>
          <w:rFonts w:ascii="Tahoma" w:hAnsi="Tahoma" w:cs="Tahoma"/>
          <w:color w:val="auto"/>
        </w:rPr>
        <w:t>Leaks</w:t>
      </w:r>
      <w:proofErr w:type="spellEnd"/>
      <w:r w:rsidRPr="00A1387F">
        <w:rPr>
          <w:rFonts w:ascii="Tahoma" w:hAnsi="Tahoma" w:cs="Tahoma"/>
          <w:color w:val="auto"/>
        </w:rPr>
        <w:t xml:space="preserve"> </w:t>
      </w:r>
      <w:proofErr w:type="spellStart"/>
      <w:r w:rsidRPr="00A1387F">
        <w:rPr>
          <w:rFonts w:ascii="Tahoma" w:hAnsi="Tahoma" w:cs="Tahoma"/>
          <w:color w:val="auto"/>
        </w:rPr>
        <w:t>Database</w:t>
      </w:r>
      <w:proofErr w:type="spellEnd"/>
      <w:r w:rsidRPr="00A1387F">
        <w:rPr>
          <w:rFonts w:ascii="Tahoma" w:hAnsi="Tahoma" w:cs="Tahoma"/>
          <w:color w:val="auto"/>
        </w:rPr>
        <w:t xml:space="preserve"> ;</w:t>
      </w:r>
    </w:p>
    <w:p w14:paraId="2E47F274"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lastRenderedPageBreak/>
        <w:t>Listes officielles : GAFI liste grise (mise à jour), liste UE des pays et territoires non coopératifs.</w:t>
      </w:r>
    </w:p>
    <w:p w14:paraId="192D174C" w14:textId="77777777" w:rsidR="00E0788A" w:rsidRPr="00A1387F" w:rsidRDefault="00E0788A" w:rsidP="00E0788A">
      <w:pPr>
        <w:pStyle w:val="Titre2"/>
        <w:rPr>
          <w:rFonts w:ascii="Tahoma" w:hAnsi="Tahoma" w:cs="Tahoma"/>
          <w:color w:val="auto"/>
        </w:rPr>
      </w:pPr>
      <w:r w:rsidRPr="00A1387F">
        <w:rPr>
          <w:rFonts w:ascii="Tahoma" w:hAnsi="Tahoma" w:cs="Tahoma"/>
          <w:color w:val="auto"/>
        </w:rPr>
        <w:t>4.6. Livrables</w:t>
      </w:r>
    </w:p>
    <w:p w14:paraId="71E384B4" w14:textId="77777777" w:rsidR="00E0788A" w:rsidRPr="00A1387F" w:rsidRDefault="00E0788A" w:rsidP="00E0788A">
      <w:pPr>
        <w:spacing w:before="40" w:after="40"/>
        <w:rPr>
          <w:rFonts w:ascii="Tahoma" w:hAnsi="Tahoma" w:cs="Tahoma"/>
        </w:rPr>
      </w:pPr>
    </w:p>
    <w:tbl>
      <w:tblPr>
        <w:tblW w:w="9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1"/>
        <w:gridCol w:w="6483"/>
      </w:tblGrid>
      <w:tr w:rsidR="00E0788A" w:rsidRPr="00A1387F" w14:paraId="4479D039" w14:textId="77777777" w:rsidTr="002265F4">
        <w:trPr>
          <w:trHeight w:val="185"/>
        </w:trPr>
        <w:tc>
          <w:tcPr>
            <w:tcW w:w="2571"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vAlign w:val="center"/>
          </w:tcPr>
          <w:p w14:paraId="4066D787" w14:textId="77777777" w:rsidR="00E0788A" w:rsidRPr="00A1387F" w:rsidRDefault="00E0788A" w:rsidP="002265F4">
            <w:pPr>
              <w:rPr>
                <w:rFonts w:ascii="Tahoma" w:hAnsi="Tahoma" w:cs="Tahoma"/>
                <w:color w:val="FFFFFF" w:themeColor="background1"/>
              </w:rPr>
            </w:pPr>
            <w:r w:rsidRPr="00A1387F">
              <w:rPr>
                <w:rFonts w:ascii="Tahoma" w:hAnsi="Tahoma" w:cs="Tahoma"/>
                <w:b/>
                <w:bCs/>
                <w:color w:val="FFFFFF" w:themeColor="background1"/>
                <w:sz w:val="20"/>
                <w:szCs w:val="20"/>
              </w:rPr>
              <w:t>Intitulé du livrable</w:t>
            </w:r>
          </w:p>
        </w:tc>
        <w:tc>
          <w:tcPr>
            <w:tcW w:w="6483"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vAlign w:val="center"/>
          </w:tcPr>
          <w:p w14:paraId="44672817" w14:textId="77777777" w:rsidR="00E0788A" w:rsidRPr="00A1387F" w:rsidRDefault="00E0788A" w:rsidP="002265F4">
            <w:pPr>
              <w:rPr>
                <w:rFonts w:ascii="Tahoma" w:hAnsi="Tahoma" w:cs="Tahoma"/>
                <w:color w:val="FFFFFF" w:themeColor="background1"/>
              </w:rPr>
            </w:pPr>
            <w:r w:rsidRPr="00A1387F">
              <w:rPr>
                <w:rFonts w:ascii="Tahoma" w:hAnsi="Tahoma" w:cs="Tahoma"/>
                <w:b/>
                <w:bCs/>
                <w:color w:val="FFFFFF" w:themeColor="background1"/>
                <w:sz w:val="20"/>
                <w:szCs w:val="20"/>
              </w:rPr>
              <w:t>Description synthétique</w:t>
            </w:r>
          </w:p>
        </w:tc>
      </w:tr>
      <w:tr w:rsidR="00E0788A" w:rsidRPr="00A1387F" w14:paraId="68BED5D4" w14:textId="77777777" w:rsidTr="002265F4">
        <w:trPr>
          <w:trHeight w:val="749"/>
        </w:trPr>
        <w:tc>
          <w:tcPr>
            <w:tcW w:w="2571"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1035FAB2" w14:textId="77777777" w:rsidR="00E0788A" w:rsidRPr="00A1387F" w:rsidRDefault="00E0788A" w:rsidP="002265F4">
            <w:pPr>
              <w:rPr>
                <w:rFonts w:ascii="Tahoma" w:hAnsi="Tahoma" w:cs="Tahoma"/>
                <w:color w:val="auto"/>
              </w:rPr>
            </w:pPr>
            <w:r w:rsidRPr="00A1387F">
              <w:rPr>
                <w:rFonts w:ascii="Tahoma" w:hAnsi="Tahoma" w:cs="Tahoma"/>
                <w:b/>
                <w:bCs/>
                <w:color w:val="auto"/>
                <w:sz w:val="20"/>
                <w:szCs w:val="20"/>
              </w:rPr>
              <w:t>Base RBE complète</w:t>
            </w:r>
          </w:p>
        </w:tc>
        <w:tc>
          <w:tcPr>
            <w:tcW w:w="6483"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vAlign w:val="center"/>
          </w:tcPr>
          <w:p w14:paraId="01DF25EE" w14:textId="77777777" w:rsidR="00E0788A" w:rsidRPr="00A1387F" w:rsidRDefault="00E0788A" w:rsidP="002265F4">
            <w:pPr>
              <w:rPr>
                <w:rFonts w:ascii="Tahoma" w:hAnsi="Tahoma" w:cs="Tahoma"/>
                <w:color w:val="auto"/>
              </w:rPr>
            </w:pPr>
            <w:r w:rsidRPr="00A1387F">
              <w:rPr>
                <w:rFonts w:ascii="Tahoma" w:hAnsi="Tahoma" w:cs="Tahoma"/>
                <w:color w:val="auto"/>
                <w:sz w:val="20"/>
                <w:szCs w:val="20"/>
              </w:rPr>
              <w:t>Fichier Excel multi-onglets (Entités, Personnes, Relations), taux de complétude ≥ 90 %, dictionnaire de données complet, log des modifications documenté.</w:t>
            </w:r>
          </w:p>
        </w:tc>
      </w:tr>
      <w:tr w:rsidR="00E0788A" w:rsidRPr="00A1387F" w14:paraId="5F9C3304" w14:textId="77777777" w:rsidTr="002265F4">
        <w:trPr>
          <w:trHeight w:val="940"/>
        </w:trPr>
        <w:tc>
          <w:tcPr>
            <w:tcW w:w="2571"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7C1E12F6" w14:textId="77777777" w:rsidR="00E0788A" w:rsidRPr="00A1387F" w:rsidRDefault="00E0788A" w:rsidP="002265F4">
            <w:pPr>
              <w:rPr>
                <w:rFonts w:ascii="Tahoma" w:hAnsi="Tahoma" w:cs="Tahoma"/>
                <w:color w:val="auto"/>
              </w:rPr>
            </w:pPr>
            <w:r w:rsidRPr="00A1387F">
              <w:rPr>
                <w:rFonts w:ascii="Tahoma" w:hAnsi="Tahoma" w:cs="Tahoma"/>
                <w:b/>
                <w:bCs/>
                <w:color w:val="auto"/>
                <w:sz w:val="20"/>
                <w:szCs w:val="20"/>
              </w:rPr>
              <w:t>Dashboard Power BI RBE</w:t>
            </w:r>
          </w:p>
        </w:tc>
        <w:tc>
          <w:tcPr>
            <w:tcW w:w="6483"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vAlign w:val="center"/>
          </w:tcPr>
          <w:p w14:paraId="28CA5C42" w14:textId="77777777" w:rsidR="00E0788A" w:rsidRPr="00A1387F" w:rsidRDefault="00E0788A" w:rsidP="002265F4">
            <w:pPr>
              <w:rPr>
                <w:rFonts w:ascii="Tahoma" w:hAnsi="Tahoma" w:cs="Tahoma"/>
                <w:color w:val="auto"/>
                <w:sz w:val="20"/>
                <w:szCs w:val="20"/>
              </w:rPr>
            </w:pPr>
            <w:r w:rsidRPr="00A1387F">
              <w:rPr>
                <w:rFonts w:ascii="Tahoma" w:hAnsi="Tahoma" w:cs="Tahoma"/>
                <w:color w:val="auto"/>
                <w:sz w:val="20"/>
                <w:szCs w:val="20"/>
              </w:rPr>
              <w:t>Visualisation interactive des chaînes d'actionnariat, alertes GAFI/UE, taux de déclaration par secteur/substance.</w:t>
            </w:r>
          </w:p>
          <w:p w14:paraId="7642113C" w14:textId="77777777" w:rsidR="00E0788A" w:rsidRPr="00A1387F" w:rsidRDefault="00E0788A" w:rsidP="002265F4">
            <w:pPr>
              <w:rPr>
                <w:rFonts w:ascii="Tahoma" w:hAnsi="Tahoma" w:cs="Tahoma"/>
                <w:color w:val="auto"/>
              </w:rPr>
            </w:pPr>
            <w:r w:rsidRPr="00A1387F">
              <w:rPr>
                <w:rFonts w:ascii="Tahoma" w:hAnsi="Tahoma" w:cs="Tahoma"/>
                <w:color w:val="auto"/>
                <w:sz w:val="20"/>
                <w:szCs w:val="20"/>
              </w:rPr>
              <w:t>Conçu pour usage opérationnel sans compétences techniques.</w:t>
            </w:r>
          </w:p>
        </w:tc>
      </w:tr>
      <w:tr w:rsidR="00E0788A" w:rsidRPr="00A1387F" w14:paraId="64446C13" w14:textId="77777777" w:rsidTr="002265F4">
        <w:trPr>
          <w:trHeight w:val="1126"/>
        </w:trPr>
        <w:tc>
          <w:tcPr>
            <w:tcW w:w="2571"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065E02FD" w14:textId="77777777" w:rsidR="00E0788A" w:rsidRPr="00A1387F" w:rsidRDefault="00E0788A" w:rsidP="002265F4">
            <w:pPr>
              <w:rPr>
                <w:rFonts w:ascii="Tahoma" w:hAnsi="Tahoma" w:cs="Tahoma"/>
                <w:color w:val="auto"/>
              </w:rPr>
            </w:pPr>
            <w:r w:rsidRPr="00A1387F">
              <w:rPr>
                <w:rFonts w:ascii="Tahoma" w:hAnsi="Tahoma" w:cs="Tahoma"/>
                <w:b/>
                <w:bCs/>
                <w:color w:val="auto"/>
                <w:sz w:val="20"/>
                <w:szCs w:val="20"/>
              </w:rPr>
              <w:t>Note analytique sur les risques</w:t>
            </w:r>
          </w:p>
        </w:tc>
        <w:tc>
          <w:tcPr>
            <w:tcW w:w="6483"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vAlign w:val="center"/>
          </w:tcPr>
          <w:p w14:paraId="5FA551EA" w14:textId="77777777" w:rsidR="00E0788A" w:rsidRPr="00A1387F" w:rsidRDefault="00E0788A" w:rsidP="002265F4">
            <w:pPr>
              <w:rPr>
                <w:rFonts w:ascii="Tahoma" w:hAnsi="Tahoma" w:cs="Tahoma"/>
                <w:color w:val="auto"/>
              </w:rPr>
            </w:pPr>
            <w:r w:rsidRPr="00A1387F">
              <w:rPr>
                <w:rFonts w:ascii="Tahoma" w:hAnsi="Tahoma" w:cs="Tahoma"/>
                <w:color w:val="auto"/>
                <w:sz w:val="20"/>
                <w:szCs w:val="20"/>
              </w:rPr>
              <w:t>Analyse des lacunes de déclaration, des âges atypiques, des risques GAFI et UE identifiés. Recommandations pour l'amélioration du dispositif. Benchmark avec les pratiques ITIE avancées (Royaume-Uni, Norvège, Nigeria, Ghana).</w:t>
            </w:r>
          </w:p>
        </w:tc>
      </w:tr>
    </w:tbl>
    <w:p w14:paraId="2FF30E96" w14:textId="77777777" w:rsidR="00E0788A" w:rsidRPr="00A1387F" w:rsidRDefault="00E0788A" w:rsidP="00E0788A">
      <w:pPr>
        <w:spacing w:before="40" w:after="40"/>
        <w:rPr>
          <w:rFonts w:ascii="Tahoma" w:hAnsi="Tahoma" w:cs="Tahoma"/>
        </w:rPr>
      </w:pPr>
    </w:p>
    <w:p w14:paraId="1A8369BC" w14:textId="77777777" w:rsidR="00E0788A" w:rsidRPr="00A1387F" w:rsidRDefault="00E0788A" w:rsidP="00E0788A">
      <w:pPr>
        <w:rPr>
          <w:rFonts w:ascii="Tahoma" w:hAnsi="Tahoma" w:cs="Tahoma"/>
        </w:rPr>
      </w:pPr>
      <w:r w:rsidRPr="00A1387F">
        <w:rPr>
          <w:rFonts w:ascii="Tahoma" w:hAnsi="Tahoma" w:cs="Tahoma"/>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0788A" w:rsidRPr="00A1387F" w14:paraId="38BB7B7D" w14:textId="77777777" w:rsidTr="002265F4">
        <w:tc>
          <w:tcPr>
            <w:tcW w:w="9026" w:type="dxa"/>
            <w:tcBorders>
              <w:top w:val="single" w:sz="1" w:space="0" w:color="2E75B6"/>
              <w:left w:val="single" w:sz="1" w:space="0" w:color="2E75B6"/>
              <w:bottom w:val="single" w:sz="1" w:space="0" w:color="2E75B6"/>
              <w:right w:val="single" w:sz="1" w:space="0" w:color="2E75B6"/>
            </w:tcBorders>
            <w:shd w:val="clear" w:color="auto" w:fill="1F4E79"/>
            <w:tcMar>
              <w:top w:w="120" w:type="dxa"/>
              <w:left w:w="240" w:type="dxa"/>
              <w:bottom w:w="120" w:type="dxa"/>
              <w:right w:w="240" w:type="dxa"/>
            </w:tcMar>
          </w:tcPr>
          <w:p w14:paraId="3E7C1196" w14:textId="77777777" w:rsidR="00E0788A" w:rsidRPr="00A1387F" w:rsidRDefault="00E0788A" w:rsidP="002265F4">
            <w:pPr>
              <w:rPr>
                <w:rFonts w:ascii="Tahoma" w:hAnsi="Tahoma" w:cs="Tahoma"/>
              </w:rPr>
            </w:pPr>
            <w:r w:rsidRPr="00A1387F">
              <w:rPr>
                <w:rFonts w:ascii="Tahoma" w:hAnsi="Tahoma" w:cs="Tahoma"/>
                <w:b/>
                <w:bCs/>
                <w:color w:val="C7922A"/>
                <w:sz w:val="28"/>
                <w:szCs w:val="28"/>
              </w:rPr>
              <w:lastRenderedPageBreak/>
              <w:t xml:space="preserve">V. </w:t>
            </w:r>
            <w:r w:rsidRPr="00A1387F">
              <w:rPr>
                <w:rFonts w:ascii="Tahoma" w:hAnsi="Tahoma" w:cs="Tahoma"/>
                <w:b/>
                <w:bCs/>
                <w:color w:val="FFFFFF"/>
                <w:sz w:val="28"/>
                <w:szCs w:val="28"/>
              </w:rPr>
              <w:t>EXPLOITATIONS MINIÈRES ARTISANALES ET À PETITE ÉCHELLE (EMAPES)</w:t>
            </w:r>
          </w:p>
        </w:tc>
      </w:tr>
    </w:tbl>
    <w:p w14:paraId="0B7D35A4" w14:textId="77777777" w:rsidR="00E0788A" w:rsidRPr="00A1387F" w:rsidRDefault="00E0788A" w:rsidP="00E0788A">
      <w:pPr>
        <w:spacing w:before="40" w:after="40"/>
        <w:rPr>
          <w:rFonts w:ascii="Tahoma" w:hAnsi="Tahoma" w:cs="Taho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0788A" w:rsidRPr="00A1387F" w14:paraId="02AFBA73" w14:textId="77777777" w:rsidTr="002265F4">
        <w:tc>
          <w:tcPr>
            <w:tcW w:w="9026" w:type="dxa"/>
            <w:tcBorders>
              <w:top w:val="single" w:sz="1" w:space="0" w:color="2E75B6"/>
              <w:left w:val="single" w:sz="1" w:space="0" w:color="2E75B6"/>
              <w:bottom w:val="single" w:sz="1" w:space="0" w:color="2E75B6"/>
              <w:right w:val="single" w:sz="1" w:space="0" w:color="2E75B6"/>
            </w:tcBorders>
            <w:shd w:val="clear" w:color="auto" w:fill="EBF3FA"/>
            <w:tcMar>
              <w:top w:w="80" w:type="dxa"/>
              <w:left w:w="200" w:type="dxa"/>
              <w:bottom w:w="80" w:type="dxa"/>
              <w:right w:w="200" w:type="dxa"/>
            </w:tcMar>
          </w:tcPr>
          <w:p w14:paraId="5D7F9624" w14:textId="77777777" w:rsidR="00E0788A" w:rsidRPr="00A1387F" w:rsidRDefault="00E0788A" w:rsidP="002265F4">
            <w:pPr>
              <w:jc w:val="center"/>
              <w:rPr>
                <w:rFonts w:ascii="Tahoma" w:hAnsi="Tahoma" w:cs="Tahoma"/>
              </w:rPr>
            </w:pPr>
            <w:r w:rsidRPr="00A1387F">
              <w:rPr>
                <w:rFonts w:ascii="Tahoma" w:hAnsi="Tahoma" w:cs="Tahoma"/>
                <w:b/>
                <w:bCs/>
                <w:i/>
                <w:iCs/>
                <w:color w:val="1F4E79"/>
                <w:sz w:val="21"/>
                <w:szCs w:val="21"/>
              </w:rPr>
              <w:t>Responsabilité exclusive : M. Rachid</w:t>
            </w:r>
          </w:p>
        </w:tc>
      </w:tr>
    </w:tbl>
    <w:p w14:paraId="2A907950" w14:textId="77777777" w:rsidR="00E0788A" w:rsidRPr="00A1387F" w:rsidRDefault="00E0788A" w:rsidP="00E0788A">
      <w:pPr>
        <w:pStyle w:val="Titre2"/>
        <w:rPr>
          <w:rFonts w:ascii="Tahoma" w:hAnsi="Tahoma" w:cs="Tahoma"/>
          <w:color w:val="auto"/>
        </w:rPr>
      </w:pPr>
      <w:r w:rsidRPr="00A1387F">
        <w:rPr>
          <w:rFonts w:ascii="Tahoma" w:hAnsi="Tahoma" w:cs="Tahoma"/>
          <w:color w:val="auto"/>
        </w:rPr>
        <w:t>5.1. Contexte et enjeux</w:t>
      </w:r>
    </w:p>
    <w:p w14:paraId="038ABA00"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Les Exploitations minières Artisanales et à Petite Échelle (EMAPES) désignent l'ensemble des activités d'extraction minière réalisées sous des régimes simplifiés ou en dehors de tout cadre légal formel (orpaillage clandestin).</w:t>
      </w:r>
    </w:p>
    <w:p w14:paraId="7C0E4480"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Au Sénégal, ces activités se concentrent principalement dans la région de Kédougou pour l'orpaillage aurifère.</w:t>
      </w:r>
    </w:p>
    <w:p w14:paraId="4A66CCAC"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L'enjeu fiscal est double : d'une part, les recettes générées par les EMAPES opérant dans le cadre légal sont insuffisamment captées faute d'instruments de suivi adaptés ; d'autre part, une fraction non négligeable des EMAPES opère hors cadre légal, générant des flux financiers qui échappent totalement au circuit fiscal formel.</w:t>
      </w:r>
    </w:p>
    <w:p w14:paraId="64C6CB28"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La quantification robuste de ces flux constitue un préalable indispensable à toute politique de formalisation et à toute stratégie de mobilisation accrue des recettes extractives artisanales.</w:t>
      </w:r>
    </w:p>
    <w:p w14:paraId="396CB438"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Le Standard ITIE 2023 (exigence 6.1) invite les pays membres à intégrer progressivement les EMAPES dans leur périmètre de déclaration ; les présents travaux constituent une étape analytique préalable vers cet objectif.</w:t>
      </w:r>
    </w:p>
    <w:p w14:paraId="1A4A9765" w14:textId="77777777" w:rsidR="00E0788A" w:rsidRPr="00A1387F" w:rsidRDefault="00E0788A" w:rsidP="00E0788A">
      <w:pPr>
        <w:pStyle w:val="Titre2"/>
        <w:rPr>
          <w:rFonts w:ascii="Tahoma" w:hAnsi="Tahoma" w:cs="Tahoma"/>
          <w:color w:val="auto"/>
        </w:rPr>
      </w:pPr>
      <w:r w:rsidRPr="00A1387F">
        <w:rPr>
          <w:rFonts w:ascii="Tahoma" w:hAnsi="Tahoma" w:cs="Tahoma"/>
          <w:color w:val="auto"/>
        </w:rPr>
        <w:t>5.2. Objectifs</w:t>
      </w:r>
    </w:p>
    <w:p w14:paraId="3A9EC95F"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 xml:space="preserve">Cartographier l'ensemble des sites EMAPES actifs à partir des données de </w:t>
      </w:r>
      <w:proofErr w:type="spellStart"/>
      <w:r w:rsidRPr="00A1387F">
        <w:rPr>
          <w:rFonts w:ascii="Tahoma" w:hAnsi="Tahoma" w:cs="Tahoma"/>
          <w:color w:val="auto"/>
        </w:rPr>
        <w:t>Landfolio</w:t>
      </w:r>
      <w:proofErr w:type="spellEnd"/>
      <w:r w:rsidRPr="00A1387F">
        <w:rPr>
          <w:rFonts w:ascii="Tahoma" w:hAnsi="Tahoma" w:cs="Tahoma"/>
          <w:color w:val="auto"/>
        </w:rPr>
        <w:t xml:space="preserve"> et des données satellitaires disponibles ;</w:t>
      </w:r>
    </w:p>
    <w:p w14:paraId="78A00684"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Estimer les volumes de production par substance (or, zircon, autres minéraux) et par zone géographique par la méthode d'analyse miroir sur la période 2020 - 2024 ;</w:t>
      </w:r>
    </w:p>
    <w:p w14:paraId="2E270152"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Analyser les circuits de commercialisation - collecteurs, négociants, exportateurs, raffineurs - pour estimer les marges captées à chaque étape de la chaîne de valeur et la fraction de valeur créée échappant au dispositif fiscal ;</w:t>
      </w:r>
    </w:p>
    <w:p w14:paraId="296A7AEF" w14:textId="77777777" w:rsidR="00E0788A" w:rsidRPr="00A1387F" w:rsidRDefault="00E0788A" w:rsidP="00E0788A">
      <w:pPr>
        <w:pStyle w:val="Paragraphedeliste"/>
        <w:numPr>
          <w:ilvl w:val="0"/>
          <w:numId w:val="1"/>
        </w:numPr>
        <w:spacing w:before="60" w:after="60" w:line="276" w:lineRule="auto"/>
        <w:rPr>
          <w:rFonts w:ascii="Tahoma" w:hAnsi="Tahoma" w:cs="Tahoma"/>
          <w:color w:val="auto"/>
        </w:rPr>
      </w:pPr>
      <w:r w:rsidRPr="00A1387F">
        <w:rPr>
          <w:rFonts w:ascii="Tahoma" w:hAnsi="Tahoma" w:cs="Tahoma"/>
          <w:color w:val="auto"/>
        </w:rPr>
        <w:t>Identifier les acteurs capitalistiques impliqués dans les EMAPES formalisées et leurs éventuels liens avec des opérateurs miniers industriels ou des personnes politiquement exposées, en s'appuyant sur les données RBE du Lot 0.</w:t>
      </w:r>
    </w:p>
    <w:p w14:paraId="74FAFBFC" w14:textId="77777777" w:rsidR="00E0788A" w:rsidRPr="00A1387F" w:rsidRDefault="00E0788A" w:rsidP="00E0788A">
      <w:pPr>
        <w:pStyle w:val="Titre2"/>
        <w:rPr>
          <w:rFonts w:ascii="Tahoma" w:hAnsi="Tahoma" w:cs="Tahoma"/>
          <w:color w:val="auto"/>
        </w:rPr>
      </w:pPr>
      <w:r w:rsidRPr="00A1387F">
        <w:rPr>
          <w:rFonts w:ascii="Tahoma" w:hAnsi="Tahoma" w:cs="Tahoma"/>
          <w:color w:val="auto"/>
        </w:rPr>
        <w:t>5.3. Méthodologie</w:t>
      </w:r>
    </w:p>
    <w:p w14:paraId="5BA1F898" w14:textId="77777777" w:rsidR="00E0788A" w:rsidRPr="00A1387F" w:rsidRDefault="00E0788A" w:rsidP="00E0788A">
      <w:pPr>
        <w:spacing w:before="180" w:after="80"/>
        <w:rPr>
          <w:rFonts w:ascii="Tahoma" w:hAnsi="Tahoma" w:cs="Tahoma"/>
          <w:color w:val="auto"/>
        </w:rPr>
      </w:pPr>
      <w:r w:rsidRPr="00A1387F">
        <w:rPr>
          <w:rFonts w:ascii="Tahoma" w:hAnsi="Tahoma" w:cs="Tahoma"/>
          <w:b/>
          <w:bCs/>
          <w:color w:val="auto"/>
        </w:rPr>
        <w:t>Revue documentaire</w:t>
      </w:r>
    </w:p>
    <w:p w14:paraId="6FCAB768" w14:textId="77777777" w:rsidR="00E0788A" w:rsidRPr="00A1387F" w:rsidRDefault="00E0788A" w:rsidP="00E0788A">
      <w:pPr>
        <w:spacing w:before="80" w:after="80" w:line="276" w:lineRule="auto"/>
        <w:jc w:val="both"/>
        <w:rPr>
          <w:rFonts w:ascii="Tahoma" w:hAnsi="Tahoma" w:cs="Tahoma"/>
          <w:color w:val="auto"/>
        </w:rPr>
      </w:pPr>
      <w:r w:rsidRPr="00A1387F">
        <w:rPr>
          <w:rFonts w:ascii="Tahoma" w:hAnsi="Tahoma" w:cs="Tahoma"/>
          <w:color w:val="auto"/>
        </w:rPr>
        <w:t>Rapports CN-ITIE, publications sur le secteur artisanal, études, rapports DGMG.</w:t>
      </w:r>
    </w:p>
    <w:p w14:paraId="4EEB08F7" w14:textId="77777777" w:rsidR="00E0788A" w:rsidRPr="001F148E" w:rsidRDefault="00E0788A" w:rsidP="00E0788A">
      <w:pPr>
        <w:spacing w:before="180" w:after="80"/>
        <w:rPr>
          <w:rFonts w:ascii="Tahoma" w:hAnsi="Tahoma" w:cs="Tahoma"/>
          <w:color w:val="auto"/>
        </w:rPr>
      </w:pPr>
      <w:r w:rsidRPr="001F148E">
        <w:rPr>
          <w:rFonts w:ascii="Tahoma" w:hAnsi="Tahoma" w:cs="Tahoma"/>
          <w:b/>
          <w:bCs/>
          <w:color w:val="auto"/>
        </w:rPr>
        <w:t>Méthode d'analyse miroir</w:t>
      </w:r>
    </w:p>
    <w:p w14:paraId="29C3D30F" w14:textId="77777777" w:rsidR="00E0788A" w:rsidRPr="001F148E" w:rsidRDefault="00E0788A" w:rsidP="00E0788A">
      <w:pPr>
        <w:spacing w:before="80" w:after="80" w:line="276" w:lineRule="auto"/>
        <w:jc w:val="both"/>
        <w:rPr>
          <w:rFonts w:ascii="Tahoma" w:hAnsi="Tahoma" w:cs="Tahoma"/>
          <w:color w:val="auto"/>
        </w:rPr>
      </w:pPr>
      <w:r w:rsidRPr="001F148E">
        <w:rPr>
          <w:rFonts w:ascii="Tahoma" w:hAnsi="Tahoma" w:cs="Tahoma"/>
          <w:color w:val="auto"/>
        </w:rPr>
        <w:t>Estimation des volumes de production artisanale par confrontation des données d'exportation officielles (déclarations douanières, statistiques BCEAO) avec les statistiques d'importation des pays acheteurs (Dubaï, Suisse, Inde pour l'or).</w:t>
      </w:r>
    </w:p>
    <w:p w14:paraId="5884AC6E" w14:textId="77777777" w:rsidR="00E0788A" w:rsidRPr="001F148E" w:rsidRDefault="00E0788A" w:rsidP="00E0788A">
      <w:pPr>
        <w:spacing w:before="80" w:after="80" w:line="276" w:lineRule="auto"/>
        <w:jc w:val="both"/>
        <w:rPr>
          <w:rFonts w:ascii="Tahoma" w:hAnsi="Tahoma" w:cs="Tahoma"/>
          <w:color w:val="auto"/>
        </w:rPr>
      </w:pPr>
      <w:r w:rsidRPr="001F148E">
        <w:rPr>
          <w:rFonts w:ascii="Tahoma" w:hAnsi="Tahoma" w:cs="Tahoma"/>
          <w:color w:val="auto"/>
        </w:rPr>
        <w:lastRenderedPageBreak/>
        <w:t>L'écart systématique entre les deux flux constitue un indicateur de la production et des exportations non déclarées.</w:t>
      </w:r>
    </w:p>
    <w:p w14:paraId="74D7EAD3" w14:textId="77777777" w:rsidR="00E0788A" w:rsidRPr="001F148E" w:rsidRDefault="00E0788A" w:rsidP="00E0788A">
      <w:pPr>
        <w:spacing w:before="180" w:after="80"/>
        <w:rPr>
          <w:rFonts w:ascii="Tahoma" w:hAnsi="Tahoma" w:cs="Tahoma"/>
          <w:color w:val="auto"/>
        </w:rPr>
      </w:pPr>
      <w:r w:rsidRPr="001F148E">
        <w:rPr>
          <w:rFonts w:ascii="Tahoma" w:hAnsi="Tahoma" w:cs="Tahoma"/>
          <w:b/>
          <w:bCs/>
          <w:color w:val="auto"/>
        </w:rPr>
        <w:t>Enquêtes semi-directives</w:t>
      </w:r>
    </w:p>
    <w:p w14:paraId="1A588BF4" w14:textId="77777777" w:rsidR="00E0788A" w:rsidRPr="001F148E" w:rsidRDefault="00E0788A" w:rsidP="00E0788A">
      <w:pPr>
        <w:spacing w:before="80" w:after="80" w:line="276" w:lineRule="auto"/>
        <w:jc w:val="both"/>
        <w:rPr>
          <w:rFonts w:ascii="Tahoma" w:hAnsi="Tahoma" w:cs="Tahoma"/>
          <w:color w:val="auto"/>
        </w:rPr>
      </w:pPr>
      <w:r w:rsidRPr="001F148E">
        <w:rPr>
          <w:rFonts w:ascii="Tahoma" w:hAnsi="Tahoma" w:cs="Tahoma"/>
          <w:color w:val="auto"/>
        </w:rPr>
        <w:t>Entretiens structurés avec le Directeur régional de Kédougou, les représentants des associations d'orpailleurs et les acteurs de la chaîne de commercialisation, pour les estimations endogènes de production, les obstacles à la formalisation et l'identification des acteurs-clés.</w:t>
      </w:r>
    </w:p>
    <w:p w14:paraId="51FDC750" w14:textId="77777777" w:rsidR="00E0788A" w:rsidRPr="001F148E" w:rsidRDefault="00E0788A" w:rsidP="00E0788A">
      <w:pPr>
        <w:pStyle w:val="Titre2"/>
        <w:rPr>
          <w:rFonts w:ascii="Tahoma" w:hAnsi="Tahoma" w:cs="Tahoma"/>
          <w:color w:val="auto"/>
        </w:rPr>
      </w:pPr>
      <w:r w:rsidRPr="001F148E">
        <w:rPr>
          <w:rFonts w:ascii="Tahoma" w:hAnsi="Tahoma" w:cs="Tahoma"/>
          <w:color w:val="auto"/>
        </w:rPr>
        <w:t>5.4. Livrables</w:t>
      </w:r>
    </w:p>
    <w:tbl>
      <w:tblPr>
        <w:tblW w:w="9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6514"/>
      </w:tblGrid>
      <w:tr w:rsidR="00E0788A" w:rsidRPr="00A1387F" w14:paraId="22FD068B" w14:textId="77777777" w:rsidTr="002265F4">
        <w:trPr>
          <w:trHeight w:val="231"/>
        </w:trPr>
        <w:tc>
          <w:tcPr>
            <w:tcW w:w="2551"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vAlign w:val="center"/>
          </w:tcPr>
          <w:p w14:paraId="0FD42055" w14:textId="77777777" w:rsidR="00E0788A" w:rsidRPr="00A1387F" w:rsidRDefault="00E0788A" w:rsidP="002265F4">
            <w:pPr>
              <w:rPr>
                <w:rFonts w:ascii="Tahoma" w:hAnsi="Tahoma" w:cs="Tahoma"/>
              </w:rPr>
            </w:pPr>
            <w:r w:rsidRPr="00A1387F">
              <w:rPr>
                <w:rFonts w:ascii="Tahoma" w:hAnsi="Tahoma" w:cs="Tahoma"/>
                <w:b/>
                <w:bCs/>
                <w:color w:val="FFFFFF"/>
                <w:sz w:val="20"/>
                <w:szCs w:val="20"/>
              </w:rPr>
              <w:t>Intitulé du livrable</w:t>
            </w:r>
          </w:p>
        </w:tc>
        <w:tc>
          <w:tcPr>
            <w:tcW w:w="6514"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vAlign w:val="center"/>
          </w:tcPr>
          <w:p w14:paraId="57E90F4E" w14:textId="77777777" w:rsidR="00E0788A" w:rsidRPr="00A1387F" w:rsidRDefault="00E0788A" w:rsidP="002265F4">
            <w:pPr>
              <w:rPr>
                <w:rFonts w:ascii="Tahoma" w:hAnsi="Tahoma" w:cs="Tahoma"/>
              </w:rPr>
            </w:pPr>
            <w:r w:rsidRPr="00A1387F">
              <w:rPr>
                <w:rFonts w:ascii="Tahoma" w:hAnsi="Tahoma" w:cs="Tahoma"/>
                <w:b/>
                <w:bCs/>
                <w:color w:val="FFFFFF"/>
                <w:sz w:val="20"/>
                <w:szCs w:val="20"/>
              </w:rPr>
              <w:t>Description synthétique</w:t>
            </w:r>
          </w:p>
        </w:tc>
      </w:tr>
      <w:tr w:rsidR="00E0788A" w:rsidRPr="00A1387F" w14:paraId="0F437ED4" w14:textId="77777777" w:rsidTr="002265F4">
        <w:trPr>
          <w:trHeight w:val="813"/>
        </w:trPr>
        <w:tc>
          <w:tcPr>
            <w:tcW w:w="2551"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5FF0C8DA" w14:textId="77777777" w:rsidR="00E0788A" w:rsidRPr="00D272C5" w:rsidRDefault="00E0788A" w:rsidP="002265F4">
            <w:pPr>
              <w:rPr>
                <w:rFonts w:ascii="Tahoma" w:hAnsi="Tahoma" w:cs="Tahoma"/>
                <w:color w:val="auto"/>
              </w:rPr>
            </w:pPr>
            <w:r w:rsidRPr="00D272C5">
              <w:rPr>
                <w:rFonts w:ascii="Tahoma" w:hAnsi="Tahoma" w:cs="Tahoma"/>
                <w:b/>
                <w:bCs/>
                <w:color w:val="auto"/>
                <w:sz w:val="20"/>
                <w:szCs w:val="20"/>
              </w:rPr>
              <w:t>Base EMAPES</w:t>
            </w:r>
          </w:p>
        </w:tc>
        <w:tc>
          <w:tcPr>
            <w:tcW w:w="6514"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vAlign w:val="center"/>
          </w:tcPr>
          <w:p w14:paraId="3356428A" w14:textId="77777777" w:rsidR="00E0788A" w:rsidRPr="00D272C5" w:rsidRDefault="00E0788A" w:rsidP="002265F4">
            <w:pPr>
              <w:rPr>
                <w:rFonts w:ascii="Tahoma" w:hAnsi="Tahoma" w:cs="Tahoma"/>
                <w:color w:val="auto"/>
              </w:rPr>
            </w:pPr>
            <w:r w:rsidRPr="00D272C5">
              <w:rPr>
                <w:rFonts w:ascii="Tahoma" w:hAnsi="Tahoma" w:cs="Tahoma"/>
                <w:color w:val="auto"/>
                <w:sz w:val="20"/>
                <w:szCs w:val="20"/>
              </w:rPr>
              <w:t>Caractéristiques des sites (substance, mode d'exploitation, statut légal, effectif estimé), volumes produits estimés par méthode miroir, circuits de commercialisation documentés.</w:t>
            </w:r>
          </w:p>
        </w:tc>
      </w:tr>
      <w:tr w:rsidR="00E0788A" w:rsidRPr="00A1387F" w14:paraId="21BF24F3" w14:textId="77777777" w:rsidTr="002265F4">
        <w:trPr>
          <w:trHeight w:val="927"/>
        </w:trPr>
        <w:tc>
          <w:tcPr>
            <w:tcW w:w="2551"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2B654490" w14:textId="77777777" w:rsidR="00E0788A" w:rsidRPr="00D272C5" w:rsidRDefault="00E0788A" w:rsidP="002265F4">
            <w:pPr>
              <w:rPr>
                <w:rFonts w:ascii="Tahoma" w:hAnsi="Tahoma" w:cs="Tahoma"/>
                <w:color w:val="auto"/>
              </w:rPr>
            </w:pPr>
            <w:r w:rsidRPr="00D272C5">
              <w:rPr>
                <w:rFonts w:ascii="Tahoma" w:hAnsi="Tahoma" w:cs="Tahoma"/>
                <w:b/>
                <w:bCs/>
                <w:color w:val="auto"/>
                <w:sz w:val="20"/>
                <w:szCs w:val="20"/>
              </w:rPr>
              <w:t>Cartographie interactive</w:t>
            </w:r>
          </w:p>
        </w:tc>
        <w:tc>
          <w:tcPr>
            <w:tcW w:w="6514"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vAlign w:val="center"/>
          </w:tcPr>
          <w:p w14:paraId="67040EF8" w14:textId="77777777" w:rsidR="00E0788A" w:rsidRPr="00D272C5" w:rsidRDefault="00E0788A" w:rsidP="002265F4">
            <w:pPr>
              <w:rPr>
                <w:rFonts w:ascii="Tahoma" w:hAnsi="Tahoma" w:cs="Tahoma"/>
                <w:color w:val="auto"/>
              </w:rPr>
            </w:pPr>
            <w:r w:rsidRPr="00D272C5">
              <w:rPr>
                <w:rFonts w:ascii="Tahoma" w:hAnsi="Tahoma" w:cs="Tahoma"/>
                <w:color w:val="auto"/>
                <w:sz w:val="20"/>
                <w:szCs w:val="20"/>
              </w:rPr>
              <w:t>Visualisation Power BI ou QGIS avec superposition des titres miniers actifs, identification des zones de chevauchement entre activité artisanale et périmètres industriels.</w:t>
            </w:r>
          </w:p>
        </w:tc>
      </w:tr>
      <w:tr w:rsidR="00E0788A" w:rsidRPr="00A1387F" w14:paraId="43FA8313" w14:textId="77777777" w:rsidTr="002265F4">
        <w:trPr>
          <w:trHeight w:val="788"/>
        </w:trPr>
        <w:tc>
          <w:tcPr>
            <w:tcW w:w="2551"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3CF9447C" w14:textId="77777777" w:rsidR="00E0788A" w:rsidRPr="00D272C5" w:rsidRDefault="00E0788A" w:rsidP="002265F4">
            <w:pPr>
              <w:rPr>
                <w:rFonts w:ascii="Tahoma" w:hAnsi="Tahoma" w:cs="Tahoma"/>
                <w:color w:val="auto"/>
              </w:rPr>
            </w:pPr>
            <w:r w:rsidRPr="00D272C5">
              <w:rPr>
                <w:rFonts w:ascii="Tahoma" w:hAnsi="Tahoma" w:cs="Tahoma"/>
                <w:b/>
                <w:bCs/>
                <w:color w:val="auto"/>
                <w:sz w:val="20"/>
                <w:szCs w:val="20"/>
              </w:rPr>
              <w:t>Note stratégique EMAPES</w:t>
            </w:r>
          </w:p>
        </w:tc>
        <w:tc>
          <w:tcPr>
            <w:tcW w:w="6514"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vAlign w:val="center"/>
          </w:tcPr>
          <w:p w14:paraId="41C52A74" w14:textId="77777777" w:rsidR="00E0788A" w:rsidRPr="00D272C5" w:rsidRDefault="00E0788A" w:rsidP="002265F4">
            <w:pPr>
              <w:rPr>
                <w:rFonts w:ascii="Tahoma" w:hAnsi="Tahoma" w:cs="Tahoma"/>
                <w:color w:val="auto"/>
              </w:rPr>
            </w:pPr>
            <w:r w:rsidRPr="00D272C5">
              <w:rPr>
                <w:rFonts w:ascii="Tahoma" w:hAnsi="Tahoma" w:cs="Tahoma"/>
                <w:color w:val="auto"/>
                <w:sz w:val="20"/>
                <w:szCs w:val="20"/>
              </w:rPr>
              <w:t>Estimations de production sur 2020 - 2024, analyse des circuits de commercialisation, recommandations opérationnelles pour l'amélioration du suivi fiscal et de la disponibilité des données.</w:t>
            </w:r>
          </w:p>
        </w:tc>
      </w:tr>
    </w:tbl>
    <w:p w14:paraId="7C834F0F" w14:textId="77777777" w:rsidR="00E0788A" w:rsidRPr="00A1387F" w:rsidRDefault="00E0788A" w:rsidP="00E0788A">
      <w:pPr>
        <w:spacing w:before="40" w:after="40"/>
        <w:rPr>
          <w:rFonts w:ascii="Tahoma" w:hAnsi="Tahoma" w:cs="Tahoma"/>
        </w:rPr>
      </w:pPr>
    </w:p>
    <w:p w14:paraId="547CE683" w14:textId="77777777" w:rsidR="00E0788A" w:rsidRPr="00A1387F" w:rsidRDefault="00E0788A" w:rsidP="00E0788A">
      <w:pPr>
        <w:spacing w:before="40" w:after="40"/>
        <w:rPr>
          <w:rFonts w:ascii="Tahoma" w:hAnsi="Tahoma" w:cs="Tahoma"/>
        </w:rPr>
      </w:pPr>
    </w:p>
    <w:p w14:paraId="56A4175D" w14:textId="77777777" w:rsidR="00E0788A" w:rsidRPr="00A1387F" w:rsidRDefault="00E0788A" w:rsidP="00E0788A">
      <w:pPr>
        <w:rPr>
          <w:rFonts w:ascii="Tahoma" w:hAnsi="Tahoma" w:cs="Tahoma"/>
        </w:rPr>
      </w:pPr>
      <w:r w:rsidRPr="00A1387F">
        <w:rPr>
          <w:rFonts w:ascii="Tahoma" w:hAnsi="Tahoma" w:cs="Tahoma"/>
        </w:rPr>
        <w:br w:type="page"/>
      </w:r>
    </w:p>
    <w:p w14:paraId="70213A93" w14:textId="77777777" w:rsidR="00E0788A" w:rsidRPr="00A1387F" w:rsidRDefault="00E0788A" w:rsidP="00E0788A">
      <w:pPr>
        <w:spacing w:before="40" w:after="40"/>
        <w:rPr>
          <w:rFonts w:ascii="Tahoma" w:hAnsi="Tahoma" w:cs="Taho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0788A" w:rsidRPr="00A1387F" w14:paraId="01DBA08B" w14:textId="77777777" w:rsidTr="002265F4">
        <w:tc>
          <w:tcPr>
            <w:tcW w:w="9026" w:type="dxa"/>
            <w:tcBorders>
              <w:top w:val="single" w:sz="1" w:space="0" w:color="2E75B6"/>
              <w:left w:val="single" w:sz="1" w:space="0" w:color="2E75B6"/>
              <w:bottom w:val="single" w:sz="1" w:space="0" w:color="2E75B6"/>
              <w:right w:val="single" w:sz="1" w:space="0" w:color="2E75B6"/>
            </w:tcBorders>
            <w:shd w:val="clear" w:color="auto" w:fill="1F4E79"/>
            <w:tcMar>
              <w:top w:w="120" w:type="dxa"/>
              <w:left w:w="240" w:type="dxa"/>
              <w:bottom w:w="120" w:type="dxa"/>
              <w:right w:w="240" w:type="dxa"/>
            </w:tcMar>
          </w:tcPr>
          <w:p w14:paraId="45D119E8" w14:textId="77777777" w:rsidR="00E0788A" w:rsidRPr="00A1387F" w:rsidRDefault="00E0788A" w:rsidP="002265F4">
            <w:pPr>
              <w:rPr>
                <w:rFonts w:ascii="Tahoma" w:hAnsi="Tahoma" w:cs="Tahoma"/>
              </w:rPr>
            </w:pPr>
            <w:r w:rsidRPr="00A1387F">
              <w:rPr>
                <w:rFonts w:ascii="Tahoma" w:hAnsi="Tahoma" w:cs="Tahoma"/>
                <w:b/>
                <w:bCs/>
                <w:color w:val="C7922A"/>
                <w:sz w:val="28"/>
                <w:szCs w:val="28"/>
              </w:rPr>
              <w:t xml:space="preserve">VI. </w:t>
            </w:r>
            <w:r w:rsidRPr="00A1387F">
              <w:rPr>
                <w:rFonts w:ascii="Tahoma" w:hAnsi="Tahoma" w:cs="Tahoma"/>
                <w:b/>
                <w:bCs/>
                <w:color w:val="FFFFFF"/>
                <w:sz w:val="28"/>
                <w:szCs w:val="28"/>
              </w:rPr>
              <w:t>MODÉLISATION ÉCONOMÉTRIQUE DES COÛTS DE PRODUCTION MINIERS</w:t>
            </w:r>
          </w:p>
        </w:tc>
      </w:tr>
    </w:tbl>
    <w:p w14:paraId="61AA9E01" w14:textId="77777777" w:rsidR="00E0788A" w:rsidRPr="00A1387F" w:rsidRDefault="00E0788A" w:rsidP="00E0788A">
      <w:pPr>
        <w:spacing w:before="40" w:after="40"/>
        <w:rPr>
          <w:rFonts w:ascii="Tahoma" w:hAnsi="Tahoma" w:cs="Taho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0788A" w:rsidRPr="00A1387F" w14:paraId="680757EC" w14:textId="77777777" w:rsidTr="002265F4">
        <w:tc>
          <w:tcPr>
            <w:tcW w:w="9026" w:type="dxa"/>
            <w:tcBorders>
              <w:top w:val="single" w:sz="1" w:space="0" w:color="2E75B6"/>
              <w:left w:val="single" w:sz="1" w:space="0" w:color="2E75B6"/>
              <w:bottom w:val="single" w:sz="1" w:space="0" w:color="2E75B6"/>
              <w:right w:val="single" w:sz="1" w:space="0" w:color="2E75B6"/>
            </w:tcBorders>
            <w:shd w:val="clear" w:color="auto" w:fill="EBF3FA"/>
            <w:tcMar>
              <w:top w:w="80" w:type="dxa"/>
              <w:left w:w="200" w:type="dxa"/>
              <w:bottom w:w="80" w:type="dxa"/>
              <w:right w:w="200" w:type="dxa"/>
            </w:tcMar>
          </w:tcPr>
          <w:p w14:paraId="697C7E54" w14:textId="77777777" w:rsidR="00E0788A" w:rsidRPr="00A1387F" w:rsidRDefault="00E0788A" w:rsidP="002265F4">
            <w:pPr>
              <w:jc w:val="center"/>
              <w:rPr>
                <w:rFonts w:ascii="Tahoma" w:hAnsi="Tahoma" w:cs="Tahoma"/>
              </w:rPr>
            </w:pPr>
            <w:r w:rsidRPr="00A1387F">
              <w:rPr>
                <w:rFonts w:ascii="Tahoma" w:hAnsi="Tahoma" w:cs="Tahoma"/>
                <w:b/>
                <w:bCs/>
                <w:i/>
                <w:iCs/>
                <w:color w:val="1F4E79"/>
                <w:sz w:val="21"/>
                <w:szCs w:val="21"/>
              </w:rPr>
              <w:t xml:space="preserve">Responsabilité exclusive : M. </w:t>
            </w:r>
            <w:proofErr w:type="spellStart"/>
            <w:r w:rsidRPr="00A1387F">
              <w:rPr>
                <w:rFonts w:ascii="Tahoma" w:hAnsi="Tahoma" w:cs="Tahoma"/>
                <w:b/>
                <w:bCs/>
                <w:i/>
                <w:iCs/>
                <w:color w:val="1F4E79"/>
                <w:sz w:val="21"/>
                <w:szCs w:val="21"/>
              </w:rPr>
              <w:t>Bamogo</w:t>
            </w:r>
            <w:proofErr w:type="spellEnd"/>
          </w:p>
        </w:tc>
      </w:tr>
    </w:tbl>
    <w:p w14:paraId="7CC4D8CA" w14:textId="77777777" w:rsidR="00E0788A" w:rsidRPr="001F148E" w:rsidRDefault="00E0788A" w:rsidP="00E0788A">
      <w:pPr>
        <w:spacing w:before="40" w:after="40"/>
        <w:rPr>
          <w:rFonts w:ascii="Tahoma" w:hAnsi="Tahoma" w:cs="Tahoma"/>
          <w:color w:val="auto"/>
        </w:rPr>
      </w:pPr>
    </w:p>
    <w:p w14:paraId="26BDB858" w14:textId="77777777" w:rsidR="00E0788A" w:rsidRPr="001F148E" w:rsidRDefault="00E0788A" w:rsidP="00E0788A">
      <w:pPr>
        <w:pStyle w:val="Titre2"/>
        <w:rPr>
          <w:rFonts w:ascii="Tahoma" w:hAnsi="Tahoma" w:cs="Tahoma"/>
          <w:color w:val="auto"/>
        </w:rPr>
      </w:pPr>
      <w:r w:rsidRPr="001F148E">
        <w:rPr>
          <w:rFonts w:ascii="Tahoma" w:hAnsi="Tahoma" w:cs="Tahoma"/>
          <w:color w:val="auto"/>
        </w:rPr>
        <w:t>6.1. Justification</w:t>
      </w:r>
    </w:p>
    <w:p w14:paraId="5755BE4A" w14:textId="77777777" w:rsidR="00E0788A" w:rsidRPr="001F148E" w:rsidRDefault="00E0788A" w:rsidP="00E0788A">
      <w:pPr>
        <w:spacing w:before="80" w:after="80" w:line="276" w:lineRule="auto"/>
        <w:jc w:val="both"/>
        <w:rPr>
          <w:rFonts w:ascii="Tahoma" w:hAnsi="Tahoma" w:cs="Tahoma"/>
          <w:color w:val="auto"/>
        </w:rPr>
      </w:pPr>
      <w:r w:rsidRPr="001F148E">
        <w:rPr>
          <w:rFonts w:ascii="Tahoma" w:hAnsi="Tahoma" w:cs="Tahoma"/>
          <w:color w:val="auto"/>
        </w:rPr>
        <w:t xml:space="preserve">La surestimation des coûts de production - par des pratiques de prix de transfert sur les intrants, une allocation interne excessive des frais de siège ou des amortissements accélérés non conformes à la réalité économique - constitue l'un des principaux vecteurs d'érosion de la base fiscale dans le secteur extractif (OCDE, 2017 ; FMI Fiscal </w:t>
      </w:r>
      <w:proofErr w:type="spellStart"/>
      <w:r w:rsidRPr="001F148E">
        <w:rPr>
          <w:rFonts w:ascii="Tahoma" w:hAnsi="Tahoma" w:cs="Tahoma"/>
          <w:color w:val="auto"/>
        </w:rPr>
        <w:t>Affairs</w:t>
      </w:r>
      <w:proofErr w:type="spellEnd"/>
      <w:r w:rsidRPr="001F148E">
        <w:rPr>
          <w:rFonts w:ascii="Tahoma" w:hAnsi="Tahoma" w:cs="Tahoma"/>
          <w:color w:val="auto"/>
        </w:rPr>
        <w:t xml:space="preserve"> </w:t>
      </w:r>
      <w:proofErr w:type="spellStart"/>
      <w:r w:rsidRPr="001F148E">
        <w:rPr>
          <w:rFonts w:ascii="Tahoma" w:hAnsi="Tahoma" w:cs="Tahoma"/>
          <w:color w:val="auto"/>
        </w:rPr>
        <w:t>Department</w:t>
      </w:r>
      <w:proofErr w:type="spellEnd"/>
      <w:r w:rsidRPr="001F148E">
        <w:rPr>
          <w:rFonts w:ascii="Tahoma" w:hAnsi="Tahoma" w:cs="Tahoma"/>
          <w:color w:val="auto"/>
        </w:rPr>
        <w:t>, 2012).</w:t>
      </w:r>
    </w:p>
    <w:p w14:paraId="0F72112D" w14:textId="77777777" w:rsidR="00E0788A" w:rsidRPr="001F148E" w:rsidRDefault="00E0788A" w:rsidP="00E0788A">
      <w:pPr>
        <w:spacing w:before="80" w:after="80" w:line="276" w:lineRule="auto"/>
        <w:jc w:val="both"/>
        <w:rPr>
          <w:rFonts w:ascii="Tahoma" w:hAnsi="Tahoma" w:cs="Tahoma"/>
          <w:color w:val="auto"/>
        </w:rPr>
      </w:pPr>
      <w:r w:rsidRPr="001F148E">
        <w:rPr>
          <w:rFonts w:ascii="Tahoma" w:hAnsi="Tahoma" w:cs="Tahoma"/>
          <w:color w:val="auto"/>
        </w:rPr>
        <w:t>Le modèle à développer n'a pas vocation à se substituer à un audit fiscal, mais à constituer un outil de ciblage et d'alerte précoce, permettant d'identifier les sociétés dont les coûts déclarés s'écartent significativement des prévisions du modèle compte tenu de leurs caractéristiques structurelles d'exploitation.</w:t>
      </w:r>
    </w:p>
    <w:p w14:paraId="26099B3B" w14:textId="77777777" w:rsidR="00E0788A" w:rsidRPr="001F148E" w:rsidRDefault="00E0788A" w:rsidP="00E0788A">
      <w:pPr>
        <w:pStyle w:val="Titre2"/>
        <w:rPr>
          <w:rFonts w:ascii="Tahoma" w:hAnsi="Tahoma" w:cs="Tahoma"/>
          <w:color w:val="auto"/>
        </w:rPr>
      </w:pPr>
      <w:r w:rsidRPr="001F148E">
        <w:rPr>
          <w:rFonts w:ascii="Tahoma" w:hAnsi="Tahoma" w:cs="Tahoma"/>
          <w:color w:val="auto"/>
        </w:rPr>
        <w:t>6.2. Objectifs</w:t>
      </w:r>
    </w:p>
    <w:p w14:paraId="5994DC88" w14:textId="77777777" w:rsidR="00E0788A" w:rsidRPr="001F148E" w:rsidRDefault="00E0788A" w:rsidP="00E0788A">
      <w:pPr>
        <w:pStyle w:val="Paragraphedeliste"/>
        <w:numPr>
          <w:ilvl w:val="0"/>
          <w:numId w:val="1"/>
        </w:numPr>
        <w:spacing w:before="60" w:after="60" w:line="276" w:lineRule="auto"/>
        <w:rPr>
          <w:rFonts w:ascii="Tahoma" w:hAnsi="Tahoma" w:cs="Tahoma"/>
          <w:color w:val="auto"/>
        </w:rPr>
      </w:pPr>
      <w:r w:rsidRPr="001F148E">
        <w:rPr>
          <w:rFonts w:ascii="Tahoma" w:hAnsi="Tahoma" w:cs="Tahoma"/>
          <w:color w:val="auto"/>
        </w:rPr>
        <w:t>Construire un modèle économétrique robuste des coûts de production totaux sur données de panel (sociétés du périmètre ITIE) ;</w:t>
      </w:r>
    </w:p>
    <w:p w14:paraId="3EDD2CCA" w14:textId="77777777" w:rsidR="00E0788A" w:rsidRPr="001F148E" w:rsidRDefault="00E0788A" w:rsidP="00E0788A">
      <w:pPr>
        <w:pStyle w:val="Paragraphedeliste"/>
        <w:numPr>
          <w:ilvl w:val="0"/>
          <w:numId w:val="1"/>
        </w:numPr>
        <w:spacing w:before="60" w:after="60" w:line="276" w:lineRule="auto"/>
        <w:rPr>
          <w:rFonts w:ascii="Tahoma" w:hAnsi="Tahoma" w:cs="Tahoma"/>
          <w:color w:val="auto"/>
        </w:rPr>
      </w:pPr>
      <w:r w:rsidRPr="001F148E">
        <w:rPr>
          <w:rFonts w:ascii="Tahoma" w:hAnsi="Tahoma" w:cs="Tahoma"/>
          <w:color w:val="auto"/>
        </w:rPr>
        <w:t>Estimer les économies d'échelle sectorielles et les élasticités-coûts aux principaux intrants (énergie, main-d'œuvre, intrants chimiques) ;</w:t>
      </w:r>
    </w:p>
    <w:p w14:paraId="460C23FD" w14:textId="77777777" w:rsidR="00E0788A" w:rsidRPr="001F148E" w:rsidRDefault="00E0788A" w:rsidP="00E0788A">
      <w:pPr>
        <w:pStyle w:val="Paragraphedeliste"/>
        <w:numPr>
          <w:ilvl w:val="0"/>
          <w:numId w:val="1"/>
        </w:numPr>
        <w:spacing w:before="60" w:after="60" w:line="276" w:lineRule="auto"/>
        <w:rPr>
          <w:rFonts w:ascii="Tahoma" w:hAnsi="Tahoma" w:cs="Tahoma"/>
          <w:color w:val="auto"/>
        </w:rPr>
      </w:pPr>
      <w:r w:rsidRPr="001F148E">
        <w:rPr>
          <w:rFonts w:ascii="Tahoma" w:hAnsi="Tahoma" w:cs="Tahoma"/>
          <w:color w:val="auto"/>
        </w:rPr>
        <w:t>Identifier les résidus significatifs - écarts coûts observés / coûts prédits - comme signaux d'alerte fiscaux justifiant une investigation approfondie ;</w:t>
      </w:r>
    </w:p>
    <w:p w14:paraId="5ACD7C3F" w14:textId="77777777" w:rsidR="00E0788A" w:rsidRPr="001F148E" w:rsidRDefault="00E0788A" w:rsidP="00E0788A">
      <w:pPr>
        <w:pStyle w:val="Paragraphedeliste"/>
        <w:numPr>
          <w:ilvl w:val="0"/>
          <w:numId w:val="1"/>
        </w:numPr>
        <w:spacing w:before="60" w:after="60" w:line="276" w:lineRule="auto"/>
        <w:rPr>
          <w:rFonts w:ascii="Tahoma" w:hAnsi="Tahoma" w:cs="Tahoma"/>
          <w:color w:val="auto"/>
        </w:rPr>
      </w:pPr>
      <w:r w:rsidRPr="001F148E">
        <w:rPr>
          <w:rFonts w:ascii="Tahoma" w:hAnsi="Tahoma" w:cs="Tahoma"/>
          <w:color w:val="auto"/>
        </w:rPr>
        <w:t>Réaliser un benchmark des coûts sénégalais par rapport aux mines comparables d'Afrique de l'Ouest (or : Mali, Burkina Faso, Côte d'Ivoire ; phosphates : Maroc).</w:t>
      </w:r>
    </w:p>
    <w:p w14:paraId="182466D7" w14:textId="77777777" w:rsidR="00E0788A" w:rsidRPr="001F148E" w:rsidRDefault="00E0788A" w:rsidP="00E0788A">
      <w:pPr>
        <w:pStyle w:val="Titre2"/>
        <w:rPr>
          <w:rFonts w:ascii="Tahoma" w:hAnsi="Tahoma" w:cs="Tahoma"/>
          <w:color w:val="auto"/>
        </w:rPr>
      </w:pPr>
      <w:r w:rsidRPr="001F148E">
        <w:rPr>
          <w:rFonts w:ascii="Tahoma" w:hAnsi="Tahoma" w:cs="Tahoma"/>
          <w:color w:val="auto"/>
        </w:rPr>
        <w:t>6.3. Spécification économétrique</w:t>
      </w:r>
    </w:p>
    <w:p w14:paraId="4789F370" w14:textId="77777777" w:rsidR="00E0788A" w:rsidRPr="00B55A9F" w:rsidRDefault="00E0788A" w:rsidP="00E0788A">
      <w:pPr>
        <w:pStyle w:val="Paragraphedeliste"/>
        <w:numPr>
          <w:ilvl w:val="0"/>
          <w:numId w:val="2"/>
        </w:numPr>
        <w:spacing w:before="180" w:after="80"/>
        <w:rPr>
          <w:rFonts w:ascii="Tahoma" w:hAnsi="Tahoma" w:cs="Tahoma"/>
          <w:color w:val="auto"/>
        </w:rPr>
      </w:pPr>
      <w:r w:rsidRPr="00B55A9F">
        <w:rPr>
          <w:rFonts w:ascii="Tahoma" w:hAnsi="Tahoma" w:cs="Tahoma"/>
          <w:color w:val="auto"/>
        </w:rPr>
        <w:t>Modèle principal - Spécification log-linéaire (Cobb-Douglas)</w:t>
      </w:r>
    </w:p>
    <w:p w14:paraId="124CE569" w14:textId="77777777" w:rsidR="00E0788A" w:rsidRPr="0056179C" w:rsidRDefault="00E0788A" w:rsidP="00E0788A">
      <w:pPr>
        <w:pStyle w:val="Paragraphedeliste"/>
        <w:numPr>
          <w:ilvl w:val="0"/>
          <w:numId w:val="2"/>
        </w:numPr>
        <w:spacing w:before="180" w:after="80"/>
        <w:rPr>
          <w:rFonts w:ascii="Tahoma" w:hAnsi="Tahoma" w:cs="Tahoma"/>
          <w:color w:val="auto"/>
        </w:rPr>
      </w:pPr>
      <w:r w:rsidRPr="00B55A9F">
        <w:rPr>
          <w:rFonts w:ascii="Tahoma" w:hAnsi="Tahoma" w:cs="Tahoma"/>
          <w:color w:val="auto"/>
        </w:rPr>
        <w:t xml:space="preserve">Modèle alternatif - Spécification </w:t>
      </w:r>
      <w:proofErr w:type="spellStart"/>
      <w:r w:rsidRPr="00B55A9F">
        <w:rPr>
          <w:rFonts w:ascii="Tahoma" w:hAnsi="Tahoma" w:cs="Tahoma"/>
          <w:color w:val="auto"/>
        </w:rPr>
        <w:t>translog</w:t>
      </w:r>
      <w:proofErr w:type="spellEnd"/>
    </w:p>
    <w:p w14:paraId="2B0998D4" w14:textId="77777777" w:rsidR="00E0788A" w:rsidRPr="001F148E" w:rsidRDefault="00E0788A" w:rsidP="00E0788A">
      <w:pPr>
        <w:pStyle w:val="Titre2"/>
        <w:rPr>
          <w:rFonts w:ascii="Tahoma" w:hAnsi="Tahoma" w:cs="Tahoma"/>
          <w:color w:val="auto"/>
        </w:rPr>
      </w:pPr>
      <w:r w:rsidRPr="001F148E">
        <w:rPr>
          <w:rFonts w:ascii="Tahoma" w:hAnsi="Tahoma" w:cs="Tahoma"/>
          <w:color w:val="auto"/>
        </w:rPr>
        <w:t>6.4. Sources de données</w:t>
      </w:r>
    </w:p>
    <w:p w14:paraId="2A38D2E3" w14:textId="77777777" w:rsidR="00E0788A" w:rsidRPr="001F148E" w:rsidRDefault="00E0788A" w:rsidP="00E0788A">
      <w:pPr>
        <w:pStyle w:val="Paragraphedeliste"/>
        <w:numPr>
          <w:ilvl w:val="0"/>
          <w:numId w:val="1"/>
        </w:numPr>
        <w:spacing w:before="60" w:after="60" w:line="276" w:lineRule="auto"/>
        <w:rPr>
          <w:rFonts w:ascii="Tahoma" w:hAnsi="Tahoma" w:cs="Tahoma"/>
          <w:color w:val="auto"/>
        </w:rPr>
      </w:pPr>
      <w:r w:rsidRPr="001F148E">
        <w:rPr>
          <w:rFonts w:ascii="Tahoma" w:hAnsi="Tahoma" w:cs="Tahoma"/>
          <w:color w:val="auto"/>
        </w:rPr>
        <w:t>Coûts de production : rapports annuels des sociétés extractives + formulaires de déclaration ITIE, décomposition CAPEX/OPEX documentée en annexe des livrables ;</w:t>
      </w:r>
    </w:p>
    <w:p w14:paraId="60FF0815" w14:textId="77777777" w:rsidR="00E0788A" w:rsidRPr="001F148E" w:rsidRDefault="00E0788A" w:rsidP="00E0788A">
      <w:pPr>
        <w:pStyle w:val="Paragraphedeliste"/>
        <w:numPr>
          <w:ilvl w:val="0"/>
          <w:numId w:val="1"/>
        </w:numPr>
        <w:spacing w:before="60" w:after="60" w:line="276" w:lineRule="auto"/>
        <w:rPr>
          <w:rFonts w:ascii="Tahoma" w:hAnsi="Tahoma" w:cs="Tahoma"/>
          <w:color w:val="auto"/>
        </w:rPr>
      </w:pPr>
      <w:r w:rsidRPr="001F148E">
        <w:rPr>
          <w:rFonts w:ascii="Tahoma" w:hAnsi="Tahoma" w:cs="Tahoma"/>
          <w:color w:val="auto"/>
        </w:rPr>
        <w:t>Volumes de production : Annexe 21 rapport ITIE + rapports des sociétés ;</w:t>
      </w:r>
    </w:p>
    <w:p w14:paraId="32E6019E" w14:textId="77777777" w:rsidR="00E0788A" w:rsidRPr="001F148E" w:rsidRDefault="00E0788A" w:rsidP="00E0788A">
      <w:pPr>
        <w:pStyle w:val="Paragraphedeliste"/>
        <w:numPr>
          <w:ilvl w:val="0"/>
          <w:numId w:val="1"/>
        </w:numPr>
        <w:spacing w:before="60" w:after="60" w:line="276" w:lineRule="auto"/>
        <w:rPr>
          <w:rFonts w:ascii="Tahoma" w:hAnsi="Tahoma" w:cs="Tahoma"/>
          <w:color w:val="auto"/>
        </w:rPr>
      </w:pPr>
      <w:r w:rsidRPr="001F148E">
        <w:rPr>
          <w:rFonts w:ascii="Tahoma" w:hAnsi="Tahoma" w:cs="Tahoma"/>
          <w:color w:val="auto"/>
        </w:rPr>
        <w:t xml:space="preserve">Prix internationaux des matières premières : London </w:t>
      </w:r>
      <w:proofErr w:type="spellStart"/>
      <w:r w:rsidRPr="001F148E">
        <w:rPr>
          <w:rFonts w:ascii="Tahoma" w:hAnsi="Tahoma" w:cs="Tahoma"/>
          <w:color w:val="auto"/>
        </w:rPr>
        <w:t>Metal</w:t>
      </w:r>
      <w:proofErr w:type="spellEnd"/>
      <w:r w:rsidRPr="001F148E">
        <w:rPr>
          <w:rFonts w:ascii="Tahoma" w:hAnsi="Tahoma" w:cs="Tahoma"/>
          <w:color w:val="auto"/>
        </w:rPr>
        <w:t xml:space="preserve"> Exchange (LME), World Bank </w:t>
      </w:r>
      <w:proofErr w:type="spellStart"/>
      <w:r w:rsidRPr="001F148E">
        <w:rPr>
          <w:rFonts w:ascii="Tahoma" w:hAnsi="Tahoma" w:cs="Tahoma"/>
          <w:color w:val="auto"/>
        </w:rPr>
        <w:t>Commodities</w:t>
      </w:r>
      <w:proofErr w:type="spellEnd"/>
      <w:r w:rsidRPr="001F148E">
        <w:rPr>
          <w:rFonts w:ascii="Tahoma" w:hAnsi="Tahoma" w:cs="Tahoma"/>
          <w:color w:val="auto"/>
        </w:rPr>
        <w:t xml:space="preserve"> Price Data (Pink </w:t>
      </w:r>
      <w:proofErr w:type="spellStart"/>
      <w:r w:rsidRPr="001F148E">
        <w:rPr>
          <w:rFonts w:ascii="Tahoma" w:hAnsi="Tahoma" w:cs="Tahoma"/>
          <w:color w:val="auto"/>
        </w:rPr>
        <w:t>Sheet</w:t>
      </w:r>
      <w:proofErr w:type="spellEnd"/>
      <w:r w:rsidRPr="001F148E">
        <w:rPr>
          <w:rFonts w:ascii="Tahoma" w:hAnsi="Tahoma" w:cs="Tahoma"/>
          <w:color w:val="auto"/>
        </w:rPr>
        <w:t xml:space="preserve">), USGS </w:t>
      </w:r>
      <w:proofErr w:type="spellStart"/>
      <w:r w:rsidRPr="001F148E">
        <w:rPr>
          <w:rFonts w:ascii="Tahoma" w:hAnsi="Tahoma" w:cs="Tahoma"/>
          <w:color w:val="auto"/>
        </w:rPr>
        <w:t>Mineral</w:t>
      </w:r>
      <w:proofErr w:type="spellEnd"/>
      <w:r w:rsidRPr="001F148E">
        <w:rPr>
          <w:rFonts w:ascii="Tahoma" w:hAnsi="Tahoma" w:cs="Tahoma"/>
          <w:color w:val="auto"/>
        </w:rPr>
        <w:t xml:space="preserve"> </w:t>
      </w:r>
      <w:proofErr w:type="spellStart"/>
      <w:r w:rsidRPr="001F148E">
        <w:rPr>
          <w:rFonts w:ascii="Tahoma" w:hAnsi="Tahoma" w:cs="Tahoma"/>
          <w:color w:val="auto"/>
        </w:rPr>
        <w:t>Commodity</w:t>
      </w:r>
      <w:proofErr w:type="spellEnd"/>
      <w:r w:rsidRPr="001F148E">
        <w:rPr>
          <w:rFonts w:ascii="Tahoma" w:hAnsi="Tahoma" w:cs="Tahoma"/>
          <w:color w:val="auto"/>
        </w:rPr>
        <w:t xml:space="preserve"> </w:t>
      </w:r>
      <w:proofErr w:type="spellStart"/>
      <w:r w:rsidRPr="001F148E">
        <w:rPr>
          <w:rFonts w:ascii="Tahoma" w:hAnsi="Tahoma" w:cs="Tahoma"/>
          <w:color w:val="auto"/>
        </w:rPr>
        <w:t>Summaries</w:t>
      </w:r>
      <w:proofErr w:type="spellEnd"/>
      <w:r w:rsidRPr="001F148E">
        <w:rPr>
          <w:rFonts w:ascii="Tahoma" w:hAnsi="Tahoma" w:cs="Tahoma"/>
          <w:color w:val="auto"/>
        </w:rPr>
        <w:t xml:space="preserve"> ;</w:t>
      </w:r>
    </w:p>
    <w:p w14:paraId="3CD8EB22" w14:textId="77777777" w:rsidR="00E0788A" w:rsidRDefault="00E0788A" w:rsidP="00E0788A">
      <w:pPr>
        <w:pStyle w:val="Paragraphedeliste"/>
        <w:numPr>
          <w:ilvl w:val="0"/>
          <w:numId w:val="1"/>
        </w:numPr>
        <w:spacing w:before="60" w:after="60" w:line="276" w:lineRule="auto"/>
        <w:rPr>
          <w:rFonts w:ascii="Tahoma" w:hAnsi="Tahoma" w:cs="Tahoma"/>
          <w:color w:val="auto"/>
        </w:rPr>
      </w:pPr>
      <w:r w:rsidRPr="001F148E">
        <w:rPr>
          <w:rFonts w:ascii="Tahoma" w:hAnsi="Tahoma" w:cs="Tahoma"/>
          <w:color w:val="auto"/>
        </w:rPr>
        <w:t xml:space="preserve">Données comparatives Afrique de l'Ouest : rapports ITIE nationaux (Mali, Burkina Faso, Côte d'Ivoire), </w:t>
      </w:r>
      <w:proofErr w:type="spellStart"/>
      <w:r w:rsidRPr="001F148E">
        <w:rPr>
          <w:rFonts w:ascii="Tahoma" w:hAnsi="Tahoma" w:cs="Tahoma"/>
          <w:color w:val="auto"/>
        </w:rPr>
        <w:t>African</w:t>
      </w:r>
      <w:proofErr w:type="spellEnd"/>
      <w:r w:rsidRPr="001F148E">
        <w:rPr>
          <w:rFonts w:ascii="Tahoma" w:hAnsi="Tahoma" w:cs="Tahoma"/>
          <w:color w:val="auto"/>
        </w:rPr>
        <w:t xml:space="preserve"> </w:t>
      </w:r>
      <w:proofErr w:type="spellStart"/>
      <w:r w:rsidRPr="001F148E">
        <w:rPr>
          <w:rFonts w:ascii="Tahoma" w:hAnsi="Tahoma" w:cs="Tahoma"/>
          <w:color w:val="auto"/>
        </w:rPr>
        <w:t>Development</w:t>
      </w:r>
      <w:proofErr w:type="spellEnd"/>
      <w:r w:rsidRPr="001F148E">
        <w:rPr>
          <w:rFonts w:ascii="Tahoma" w:hAnsi="Tahoma" w:cs="Tahoma"/>
          <w:color w:val="auto"/>
        </w:rPr>
        <w:t xml:space="preserve"> Bank Mining </w:t>
      </w:r>
      <w:proofErr w:type="spellStart"/>
      <w:r w:rsidRPr="001F148E">
        <w:rPr>
          <w:rFonts w:ascii="Tahoma" w:hAnsi="Tahoma" w:cs="Tahoma"/>
          <w:color w:val="auto"/>
        </w:rPr>
        <w:t>Sector</w:t>
      </w:r>
      <w:proofErr w:type="spellEnd"/>
      <w:r w:rsidRPr="001F148E">
        <w:rPr>
          <w:rFonts w:ascii="Tahoma" w:hAnsi="Tahoma" w:cs="Tahoma"/>
          <w:color w:val="auto"/>
        </w:rPr>
        <w:t xml:space="preserve"> Data</w:t>
      </w:r>
      <w:r>
        <w:rPr>
          <w:rFonts w:ascii="Tahoma" w:hAnsi="Tahoma" w:cs="Tahoma"/>
          <w:color w:val="auto"/>
        </w:rPr>
        <w:t> ;</w:t>
      </w:r>
    </w:p>
    <w:p w14:paraId="68C13DEF" w14:textId="77777777" w:rsidR="00E0788A" w:rsidRDefault="00E0788A" w:rsidP="00E0788A">
      <w:pPr>
        <w:pStyle w:val="Paragraphedeliste"/>
        <w:numPr>
          <w:ilvl w:val="0"/>
          <w:numId w:val="1"/>
        </w:numPr>
        <w:spacing w:before="60" w:after="60" w:line="276" w:lineRule="auto"/>
        <w:rPr>
          <w:rFonts w:ascii="Tahoma" w:hAnsi="Tahoma" w:cs="Tahoma"/>
          <w:color w:val="auto"/>
        </w:rPr>
      </w:pPr>
      <w:r>
        <w:rPr>
          <w:rFonts w:ascii="Tahoma" w:hAnsi="Tahoma" w:cs="Tahoma"/>
          <w:color w:val="auto"/>
        </w:rPr>
        <w:t>Etc.</w:t>
      </w:r>
    </w:p>
    <w:p w14:paraId="5871D7B5" w14:textId="77777777" w:rsidR="00E0788A" w:rsidRPr="001F148E" w:rsidRDefault="00E0788A" w:rsidP="00E0788A">
      <w:pPr>
        <w:pStyle w:val="Paragraphedeliste"/>
        <w:spacing w:before="60" w:after="60" w:line="276" w:lineRule="auto"/>
        <w:ind w:left="600"/>
        <w:rPr>
          <w:rFonts w:ascii="Tahoma" w:hAnsi="Tahoma" w:cs="Tahoma"/>
          <w:color w:val="auto"/>
        </w:rPr>
      </w:pPr>
    </w:p>
    <w:p w14:paraId="226D2B73" w14:textId="77777777" w:rsidR="00E0788A" w:rsidRPr="001F148E" w:rsidRDefault="00E0788A" w:rsidP="00E0788A">
      <w:pPr>
        <w:pStyle w:val="Titre2"/>
        <w:rPr>
          <w:rFonts w:ascii="Tahoma" w:hAnsi="Tahoma" w:cs="Tahoma"/>
          <w:color w:val="auto"/>
        </w:rPr>
      </w:pPr>
      <w:r w:rsidRPr="001F148E">
        <w:rPr>
          <w:rFonts w:ascii="Tahoma" w:hAnsi="Tahoma" w:cs="Tahoma"/>
          <w:color w:val="auto"/>
        </w:rPr>
        <w:lastRenderedPageBreak/>
        <w:t>6.5. Livrables</w:t>
      </w: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0"/>
        <w:gridCol w:w="5892"/>
      </w:tblGrid>
      <w:tr w:rsidR="00E0788A" w:rsidRPr="00A1387F" w14:paraId="4198F06A" w14:textId="77777777" w:rsidTr="002265F4">
        <w:trPr>
          <w:trHeight w:val="234"/>
        </w:trPr>
        <w:tc>
          <w:tcPr>
            <w:tcW w:w="30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vAlign w:val="center"/>
          </w:tcPr>
          <w:p w14:paraId="51289572" w14:textId="77777777" w:rsidR="00E0788A" w:rsidRPr="00A1387F" w:rsidRDefault="00E0788A" w:rsidP="002265F4">
            <w:pPr>
              <w:rPr>
                <w:rFonts w:ascii="Tahoma" w:hAnsi="Tahoma" w:cs="Tahoma"/>
              </w:rPr>
            </w:pPr>
            <w:r w:rsidRPr="00A1387F">
              <w:rPr>
                <w:rFonts w:ascii="Tahoma" w:hAnsi="Tahoma" w:cs="Tahoma"/>
                <w:b/>
                <w:bCs/>
                <w:color w:val="FFFFFF"/>
                <w:sz w:val="20"/>
                <w:szCs w:val="20"/>
              </w:rPr>
              <w:t>Intitulé du livrable</w:t>
            </w:r>
          </w:p>
        </w:tc>
        <w:tc>
          <w:tcPr>
            <w:tcW w:w="5892"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60" w:type="dxa"/>
              <w:bottom w:w="100" w:type="dxa"/>
              <w:right w:w="160" w:type="dxa"/>
            </w:tcMar>
            <w:vAlign w:val="center"/>
          </w:tcPr>
          <w:p w14:paraId="1CFA18DF" w14:textId="77777777" w:rsidR="00E0788A" w:rsidRPr="00A1387F" w:rsidRDefault="00E0788A" w:rsidP="002265F4">
            <w:pPr>
              <w:rPr>
                <w:rFonts w:ascii="Tahoma" w:hAnsi="Tahoma" w:cs="Tahoma"/>
              </w:rPr>
            </w:pPr>
            <w:r w:rsidRPr="00A1387F">
              <w:rPr>
                <w:rFonts w:ascii="Tahoma" w:hAnsi="Tahoma" w:cs="Tahoma"/>
                <w:b/>
                <w:bCs/>
                <w:color w:val="FFFFFF"/>
                <w:sz w:val="20"/>
                <w:szCs w:val="20"/>
              </w:rPr>
              <w:t>Description synthétique</w:t>
            </w:r>
          </w:p>
        </w:tc>
      </w:tr>
      <w:tr w:rsidR="00E0788A" w:rsidRPr="00A1387F" w14:paraId="1FE67A33" w14:textId="77777777" w:rsidTr="002265F4">
        <w:trPr>
          <w:trHeight w:val="711"/>
        </w:trPr>
        <w:tc>
          <w:tcPr>
            <w:tcW w:w="30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234BDE56" w14:textId="77777777" w:rsidR="00E0788A" w:rsidRPr="00D272C5" w:rsidRDefault="00E0788A" w:rsidP="002265F4">
            <w:pPr>
              <w:rPr>
                <w:rFonts w:ascii="Tahoma" w:hAnsi="Tahoma" w:cs="Tahoma"/>
                <w:color w:val="auto"/>
              </w:rPr>
            </w:pPr>
            <w:r w:rsidRPr="00D272C5">
              <w:rPr>
                <w:rFonts w:ascii="Tahoma" w:hAnsi="Tahoma" w:cs="Tahoma"/>
                <w:b/>
                <w:bCs/>
                <w:color w:val="auto"/>
                <w:sz w:val="20"/>
                <w:szCs w:val="20"/>
              </w:rPr>
              <w:t>Note de cadrage méthodologique</w:t>
            </w:r>
          </w:p>
        </w:tc>
        <w:tc>
          <w:tcPr>
            <w:tcW w:w="5892"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vAlign w:val="center"/>
          </w:tcPr>
          <w:p w14:paraId="309D5C30" w14:textId="77777777" w:rsidR="00E0788A" w:rsidRPr="00D272C5" w:rsidRDefault="00E0788A" w:rsidP="002265F4">
            <w:pPr>
              <w:rPr>
                <w:rFonts w:ascii="Tahoma" w:hAnsi="Tahoma" w:cs="Tahoma"/>
                <w:color w:val="auto"/>
              </w:rPr>
            </w:pPr>
            <w:r w:rsidRPr="00D272C5">
              <w:rPr>
                <w:rFonts w:ascii="Tahoma" w:hAnsi="Tahoma" w:cs="Tahoma"/>
                <w:color w:val="auto"/>
                <w:sz w:val="20"/>
                <w:szCs w:val="20"/>
              </w:rPr>
              <w:t>Justification du modèle retenu, revue de littérature ciblée, description des données, protocole de nettoyage et de contrôle qualité.</w:t>
            </w:r>
          </w:p>
        </w:tc>
      </w:tr>
      <w:tr w:rsidR="00E0788A" w:rsidRPr="00A1387F" w14:paraId="1C5A100E" w14:textId="77777777" w:rsidTr="002265F4">
        <w:trPr>
          <w:trHeight w:val="722"/>
        </w:trPr>
        <w:tc>
          <w:tcPr>
            <w:tcW w:w="30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67EACB6B" w14:textId="77777777" w:rsidR="00E0788A" w:rsidRPr="00D272C5" w:rsidRDefault="00E0788A" w:rsidP="002265F4">
            <w:pPr>
              <w:rPr>
                <w:rFonts w:ascii="Tahoma" w:hAnsi="Tahoma" w:cs="Tahoma"/>
                <w:color w:val="auto"/>
              </w:rPr>
            </w:pPr>
            <w:r w:rsidRPr="00D272C5">
              <w:rPr>
                <w:rFonts w:ascii="Tahoma" w:hAnsi="Tahoma" w:cs="Tahoma"/>
                <w:b/>
                <w:bCs/>
                <w:color w:val="auto"/>
                <w:sz w:val="20"/>
                <w:szCs w:val="20"/>
              </w:rPr>
              <w:t>Scripts économétriques documentés</w:t>
            </w:r>
          </w:p>
        </w:tc>
        <w:tc>
          <w:tcPr>
            <w:tcW w:w="5892"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vAlign w:val="center"/>
          </w:tcPr>
          <w:p w14:paraId="358AC05B" w14:textId="77777777" w:rsidR="00E0788A" w:rsidRPr="00D272C5" w:rsidRDefault="00E0788A" w:rsidP="002265F4">
            <w:pPr>
              <w:rPr>
                <w:rFonts w:ascii="Tahoma" w:hAnsi="Tahoma" w:cs="Tahoma"/>
                <w:color w:val="auto"/>
                <w:sz w:val="20"/>
                <w:szCs w:val="20"/>
              </w:rPr>
            </w:pPr>
            <w:r w:rsidRPr="00D272C5">
              <w:rPr>
                <w:rFonts w:ascii="Tahoma" w:hAnsi="Tahoma" w:cs="Tahoma"/>
                <w:color w:val="auto"/>
                <w:sz w:val="20"/>
                <w:szCs w:val="20"/>
              </w:rPr>
              <w:t xml:space="preserve">Scripts reproductibles et commentés </w:t>
            </w:r>
          </w:p>
          <w:p w14:paraId="27023FE6" w14:textId="77777777" w:rsidR="00E0788A" w:rsidRPr="00D272C5" w:rsidRDefault="00E0788A" w:rsidP="002265F4">
            <w:pPr>
              <w:rPr>
                <w:rFonts w:ascii="Tahoma" w:hAnsi="Tahoma" w:cs="Tahoma"/>
                <w:color w:val="auto"/>
              </w:rPr>
            </w:pPr>
            <w:r w:rsidRPr="00D272C5">
              <w:rPr>
                <w:rFonts w:ascii="Tahoma" w:hAnsi="Tahoma" w:cs="Tahoma"/>
                <w:color w:val="auto"/>
                <w:sz w:val="20"/>
                <w:szCs w:val="20"/>
              </w:rPr>
              <w:t>Inclure les tests de spécification et les résultats des estimations alternatives.</w:t>
            </w:r>
          </w:p>
        </w:tc>
      </w:tr>
      <w:tr w:rsidR="00E0788A" w:rsidRPr="00A1387F" w14:paraId="088A373C" w14:textId="77777777" w:rsidTr="002265F4">
        <w:trPr>
          <w:trHeight w:val="523"/>
        </w:trPr>
        <w:tc>
          <w:tcPr>
            <w:tcW w:w="30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4626B716" w14:textId="77777777" w:rsidR="00E0788A" w:rsidRPr="00D272C5" w:rsidRDefault="00E0788A" w:rsidP="002265F4">
            <w:pPr>
              <w:rPr>
                <w:rFonts w:ascii="Tahoma" w:hAnsi="Tahoma" w:cs="Tahoma"/>
                <w:color w:val="auto"/>
              </w:rPr>
            </w:pPr>
            <w:r w:rsidRPr="00D272C5">
              <w:rPr>
                <w:rFonts w:ascii="Tahoma" w:hAnsi="Tahoma" w:cs="Tahoma"/>
                <w:b/>
                <w:bCs/>
                <w:color w:val="auto"/>
                <w:sz w:val="20"/>
                <w:szCs w:val="20"/>
              </w:rPr>
              <w:t>Dashboard Power BI</w:t>
            </w:r>
          </w:p>
        </w:tc>
        <w:tc>
          <w:tcPr>
            <w:tcW w:w="5892"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vAlign w:val="center"/>
          </w:tcPr>
          <w:p w14:paraId="564AA434" w14:textId="77777777" w:rsidR="00E0788A" w:rsidRPr="00D272C5" w:rsidRDefault="00E0788A" w:rsidP="002265F4">
            <w:pPr>
              <w:rPr>
                <w:rFonts w:ascii="Tahoma" w:hAnsi="Tahoma" w:cs="Tahoma"/>
                <w:color w:val="auto"/>
              </w:rPr>
            </w:pPr>
            <w:r w:rsidRPr="00D272C5">
              <w:rPr>
                <w:rFonts w:ascii="Tahoma" w:hAnsi="Tahoma" w:cs="Tahoma"/>
                <w:color w:val="auto"/>
                <w:sz w:val="20"/>
                <w:szCs w:val="20"/>
              </w:rPr>
              <w:t>Coûts observés vs prédits par société et exercice, carte des résidus, signaux d'alerte fiscaux avec seuils paramétrables.</w:t>
            </w:r>
          </w:p>
        </w:tc>
      </w:tr>
      <w:tr w:rsidR="00E0788A" w:rsidRPr="00A1387F" w14:paraId="415D2B33" w14:textId="77777777" w:rsidTr="002265F4">
        <w:trPr>
          <w:trHeight w:val="532"/>
        </w:trPr>
        <w:tc>
          <w:tcPr>
            <w:tcW w:w="30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3975B231" w14:textId="77777777" w:rsidR="00E0788A" w:rsidRPr="00D272C5" w:rsidRDefault="00E0788A" w:rsidP="002265F4">
            <w:pPr>
              <w:rPr>
                <w:rFonts w:ascii="Tahoma" w:hAnsi="Tahoma" w:cs="Tahoma"/>
                <w:color w:val="auto"/>
              </w:rPr>
            </w:pPr>
            <w:r w:rsidRPr="00D272C5">
              <w:rPr>
                <w:rFonts w:ascii="Tahoma" w:hAnsi="Tahoma" w:cs="Tahoma"/>
                <w:b/>
                <w:bCs/>
                <w:color w:val="auto"/>
                <w:sz w:val="20"/>
                <w:szCs w:val="20"/>
              </w:rPr>
              <w:t>Rapport technique final</w:t>
            </w:r>
          </w:p>
        </w:tc>
        <w:tc>
          <w:tcPr>
            <w:tcW w:w="5892"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vAlign w:val="center"/>
          </w:tcPr>
          <w:p w14:paraId="7341E0E2" w14:textId="77777777" w:rsidR="00E0788A" w:rsidRPr="00D272C5" w:rsidRDefault="00E0788A" w:rsidP="002265F4">
            <w:pPr>
              <w:rPr>
                <w:rFonts w:ascii="Tahoma" w:hAnsi="Tahoma" w:cs="Tahoma"/>
                <w:color w:val="auto"/>
              </w:rPr>
            </w:pPr>
            <w:r w:rsidRPr="00D272C5">
              <w:rPr>
                <w:rFonts w:ascii="Tahoma" w:hAnsi="Tahoma" w:cs="Tahoma"/>
                <w:color w:val="auto"/>
                <w:sz w:val="20"/>
                <w:szCs w:val="20"/>
              </w:rPr>
              <w:t>Cadre théorique, méthodologie détaillée, résultats, implications fiscales, limites du modèle, recommandations opérationnelles.</w:t>
            </w:r>
          </w:p>
        </w:tc>
      </w:tr>
    </w:tbl>
    <w:p w14:paraId="2E4F08FD" w14:textId="77777777" w:rsidR="00E0788A" w:rsidRPr="00A1387F" w:rsidRDefault="00E0788A" w:rsidP="00E0788A">
      <w:pPr>
        <w:spacing w:before="40" w:after="40"/>
        <w:rPr>
          <w:rFonts w:ascii="Tahoma" w:hAnsi="Tahoma" w:cs="Tahom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0788A" w:rsidRPr="00A1387F" w14:paraId="2EF27F6B" w14:textId="77777777" w:rsidTr="002265F4">
        <w:tc>
          <w:tcPr>
            <w:tcW w:w="9026" w:type="dxa"/>
            <w:tcBorders>
              <w:top w:val="single" w:sz="1" w:space="0" w:color="2E75B6"/>
              <w:left w:val="single" w:sz="1" w:space="0" w:color="2E75B6"/>
              <w:bottom w:val="single" w:sz="1" w:space="0" w:color="2E75B6"/>
              <w:right w:val="single" w:sz="1" w:space="0" w:color="2E75B6"/>
            </w:tcBorders>
            <w:shd w:val="clear" w:color="auto" w:fill="1F4E79"/>
            <w:tcMar>
              <w:top w:w="120" w:type="dxa"/>
              <w:left w:w="240" w:type="dxa"/>
              <w:bottom w:w="120" w:type="dxa"/>
              <w:right w:w="240" w:type="dxa"/>
            </w:tcMar>
          </w:tcPr>
          <w:p w14:paraId="29189400" w14:textId="77777777" w:rsidR="00E0788A" w:rsidRPr="00A1387F" w:rsidRDefault="00E0788A" w:rsidP="002265F4">
            <w:pPr>
              <w:rPr>
                <w:rFonts w:ascii="Tahoma" w:hAnsi="Tahoma" w:cs="Tahoma"/>
              </w:rPr>
            </w:pPr>
            <w:r w:rsidRPr="00A1387F">
              <w:rPr>
                <w:rFonts w:ascii="Tahoma" w:hAnsi="Tahoma" w:cs="Tahoma"/>
                <w:b/>
                <w:bCs/>
                <w:color w:val="C7922A"/>
                <w:sz w:val="28"/>
                <w:szCs w:val="28"/>
              </w:rPr>
              <w:t xml:space="preserve">VII. </w:t>
            </w:r>
            <w:r w:rsidRPr="00A1387F">
              <w:rPr>
                <w:rFonts w:ascii="Tahoma" w:hAnsi="Tahoma" w:cs="Tahoma"/>
                <w:b/>
                <w:bCs/>
                <w:color w:val="FFFFFF"/>
                <w:sz w:val="28"/>
                <w:szCs w:val="28"/>
              </w:rPr>
              <w:t>ENCADREMENT, SUIVI ET ÉVALUATION</w:t>
            </w:r>
          </w:p>
        </w:tc>
      </w:tr>
    </w:tbl>
    <w:p w14:paraId="280F0749" w14:textId="77777777" w:rsidR="00E0788A" w:rsidRPr="00A1387F" w:rsidRDefault="00E0788A" w:rsidP="00E0788A">
      <w:pPr>
        <w:spacing w:before="40" w:after="40"/>
        <w:rPr>
          <w:rFonts w:ascii="Tahoma" w:hAnsi="Tahoma" w:cs="Tahoma"/>
        </w:rPr>
      </w:pPr>
    </w:p>
    <w:p w14:paraId="63974612" w14:textId="77777777" w:rsidR="00E0788A" w:rsidRPr="00D272C5" w:rsidRDefault="00E0788A" w:rsidP="00E0788A">
      <w:pPr>
        <w:spacing w:before="80" w:after="80" w:line="276" w:lineRule="auto"/>
        <w:jc w:val="both"/>
        <w:rPr>
          <w:rFonts w:ascii="Tahoma" w:hAnsi="Tahoma" w:cs="Tahoma"/>
          <w:color w:val="auto"/>
        </w:rPr>
      </w:pPr>
      <w:r w:rsidRPr="00D272C5">
        <w:rPr>
          <w:rFonts w:ascii="Tahoma" w:hAnsi="Tahoma" w:cs="Tahoma"/>
          <w:color w:val="auto"/>
        </w:rPr>
        <w:t>L'encadrement est assuré par le Secrétariat Permanent et le Gestionnaire de données.</w:t>
      </w:r>
    </w:p>
    <w:p w14:paraId="3D68167A" w14:textId="77777777" w:rsidR="00E0788A" w:rsidRPr="00D272C5" w:rsidRDefault="00E0788A" w:rsidP="00E0788A">
      <w:pPr>
        <w:spacing w:before="80" w:after="80" w:line="276" w:lineRule="auto"/>
        <w:jc w:val="both"/>
        <w:rPr>
          <w:rFonts w:ascii="Tahoma" w:hAnsi="Tahoma" w:cs="Tahoma"/>
          <w:color w:val="auto"/>
        </w:rPr>
      </w:pPr>
      <w:r w:rsidRPr="00D272C5">
        <w:rPr>
          <w:rFonts w:ascii="Tahoma" w:hAnsi="Tahoma" w:cs="Tahoma"/>
          <w:color w:val="auto"/>
        </w:rPr>
        <w:t>Des points hebdomadaires de 30 min seront tenus avec chaque stagiaire, sur la base d'un compte rendu d'avancement formalisé transmis par le stagiaire au moins 24 heures avant chaque réunion.</w:t>
      </w:r>
    </w:p>
    <w:p w14:paraId="5D331C69" w14:textId="77777777" w:rsidR="00E0788A" w:rsidRDefault="00E0788A" w:rsidP="00E0788A">
      <w:pPr>
        <w:spacing w:before="80" w:after="80" w:line="276" w:lineRule="auto"/>
        <w:jc w:val="both"/>
        <w:rPr>
          <w:rFonts w:ascii="Tahoma" w:hAnsi="Tahoma" w:cs="Tahoma"/>
        </w:rPr>
      </w:pPr>
      <w:r w:rsidRPr="00D272C5">
        <w:rPr>
          <w:rFonts w:ascii="Tahoma" w:hAnsi="Tahoma" w:cs="Tahoma"/>
          <w:color w:val="auto"/>
        </w:rPr>
        <w:t xml:space="preserve">Une revue formelle est organisée </w:t>
      </w:r>
      <w:r w:rsidRPr="00A1387F">
        <w:rPr>
          <w:rFonts w:ascii="Tahoma" w:hAnsi="Tahoma" w:cs="Tahoma"/>
        </w:rPr>
        <w:t xml:space="preserve">à la fin </w:t>
      </w:r>
      <w:r>
        <w:rPr>
          <w:rFonts w:ascii="Tahoma" w:hAnsi="Tahoma" w:cs="Tahoma"/>
        </w:rPr>
        <w:t>du deuxième</w:t>
      </w:r>
      <w:r w:rsidRPr="00A1387F">
        <w:rPr>
          <w:rFonts w:ascii="Tahoma" w:hAnsi="Tahoma" w:cs="Tahoma"/>
        </w:rPr>
        <w:t xml:space="preserve"> mois (présentation orale des résultats intermédiaires, validation des bases provisoires).</w:t>
      </w:r>
    </w:p>
    <w:p w14:paraId="0CD5DD09" w14:textId="25A67868" w:rsidR="00E0788A" w:rsidRPr="00A1387F" w:rsidRDefault="00E0788A" w:rsidP="00E0788A">
      <w:pPr>
        <w:spacing w:before="80" w:after="80" w:line="276" w:lineRule="auto"/>
        <w:jc w:val="both"/>
        <w:rPr>
          <w:rFonts w:ascii="Tahoma" w:hAnsi="Tahoma" w:cs="Tahoma"/>
        </w:rPr>
      </w:pPr>
      <w:r>
        <w:rPr>
          <w:rFonts w:ascii="Tahoma" w:hAnsi="Tahoma" w:cs="Tahoma"/>
        </w:rPr>
        <w:t>Une séance de présentation</w:t>
      </w:r>
      <w:r w:rsidRPr="00A1387F">
        <w:rPr>
          <w:rFonts w:ascii="Tahoma" w:hAnsi="Tahoma" w:cs="Tahoma"/>
        </w:rPr>
        <w:t xml:space="preserve"> est organisée à la fin du </w:t>
      </w:r>
      <w:r>
        <w:rPr>
          <w:rFonts w:ascii="Tahoma" w:hAnsi="Tahoma" w:cs="Tahoma"/>
        </w:rPr>
        <w:t>troisième mois</w:t>
      </w:r>
      <w:r w:rsidRPr="00A1387F">
        <w:rPr>
          <w:rFonts w:ascii="Tahoma" w:hAnsi="Tahoma" w:cs="Tahoma"/>
        </w:rPr>
        <w:t xml:space="preserve"> devant </w:t>
      </w:r>
      <w:r>
        <w:rPr>
          <w:rFonts w:ascii="Tahoma" w:hAnsi="Tahoma" w:cs="Tahoma"/>
        </w:rPr>
        <w:t>l</w:t>
      </w:r>
      <w:r w:rsidRPr="00A1387F">
        <w:rPr>
          <w:rFonts w:ascii="Tahoma" w:hAnsi="Tahoma" w:cs="Tahoma"/>
        </w:rPr>
        <w:t>'équipe du CN-ITIE.</w:t>
      </w:r>
    </w:p>
    <w:p w14:paraId="250B0C2D" w14:textId="77777777" w:rsidR="00E0788A" w:rsidRDefault="00E0788A"/>
    <w:sectPr w:rsidR="00E0788A" w:rsidSect="00D52001">
      <w:headerReference w:type="default" r:id="rId5"/>
      <w:footerReference w:type="default" r:id="rId6"/>
      <w:pgSz w:w="11906" w:h="16838"/>
      <w:pgMar w:top="1440" w:right="1440" w:bottom="1276" w:left="1440" w:header="851" w:footer="6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5278772"/>
      <w:docPartObj>
        <w:docPartGallery w:val="Page Numbers (Bottom of Page)"/>
        <w:docPartUnique/>
      </w:docPartObj>
    </w:sdtPr>
    <w:sdtEndPr>
      <w:rPr>
        <w:rFonts w:ascii="Tahoma" w:hAnsi="Tahoma" w:cs="Tahoma"/>
        <w:sz w:val="20"/>
        <w:szCs w:val="20"/>
      </w:rPr>
    </w:sdtEndPr>
    <w:sdtContent>
      <w:p w14:paraId="6F37FEB8" w14:textId="77777777" w:rsidR="009F1733" w:rsidRPr="00600457" w:rsidRDefault="00000000" w:rsidP="00731937">
        <w:pPr>
          <w:pStyle w:val="Pieddepage"/>
          <w:pBdr>
            <w:top w:val="single" w:sz="4" w:space="1" w:color="auto"/>
          </w:pBdr>
          <w:jc w:val="right"/>
          <w:rPr>
            <w:rFonts w:ascii="Tahoma" w:hAnsi="Tahoma" w:cs="Tahoma"/>
            <w:sz w:val="20"/>
            <w:szCs w:val="20"/>
          </w:rPr>
        </w:pPr>
        <w:r w:rsidRPr="00600457">
          <w:rPr>
            <w:rFonts w:ascii="Tahoma" w:hAnsi="Tahoma" w:cs="Tahoma"/>
            <w:sz w:val="20"/>
            <w:szCs w:val="20"/>
          </w:rPr>
          <w:fldChar w:fldCharType="begin"/>
        </w:r>
        <w:r w:rsidRPr="00600457">
          <w:rPr>
            <w:rFonts w:ascii="Tahoma" w:hAnsi="Tahoma" w:cs="Tahoma"/>
            <w:sz w:val="20"/>
            <w:szCs w:val="20"/>
          </w:rPr>
          <w:instrText>PAGE   \* MERGEFORMAT</w:instrText>
        </w:r>
        <w:r w:rsidRPr="00600457">
          <w:rPr>
            <w:rFonts w:ascii="Tahoma" w:hAnsi="Tahoma" w:cs="Tahoma"/>
            <w:sz w:val="20"/>
            <w:szCs w:val="20"/>
          </w:rPr>
          <w:fldChar w:fldCharType="separate"/>
        </w:r>
        <w:r w:rsidRPr="00600457">
          <w:rPr>
            <w:rFonts w:ascii="Tahoma" w:hAnsi="Tahoma" w:cs="Tahoma"/>
            <w:sz w:val="20"/>
            <w:szCs w:val="20"/>
          </w:rPr>
          <w:t>2</w:t>
        </w:r>
        <w:r w:rsidRPr="00600457">
          <w:rPr>
            <w:rFonts w:ascii="Tahoma" w:hAnsi="Tahoma" w:cs="Tahoma"/>
            <w:sz w:val="20"/>
            <w:szCs w:val="20"/>
          </w:rPr>
          <w:fldChar w:fldCharType="end"/>
        </w:r>
      </w:p>
    </w:sdtContent>
  </w:sdt>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D6389" w14:textId="77777777" w:rsidR="009F1733" w:rsidRDefault="00000000">
    <w:pPr>
      <w:pBdr>
        <w:bottom w:val="single" w:sz="4" w:space="1" w:color="2E75B6"/>
      </w:pBdr>
      <w:tabs>
        <w:tab w:val="right" w:pos="8026"/>
      </w:tabs>
    </w:pPr>
    <w:r>
      <w:rPr>
        <w:color w:val="595959"/>
        <w:sz w:val="18"/>
        <w:szCs w:val="18"/>
      </w:rPr>
      <w:t xml:space="preserve">CN-ITIE </w:t>
    </w:r>
    <w:r>
      <w:rPr>
        <w:color w:val="595959"/>
        <w:sz w:val="18"/>
        <w:szCs w:val="18"/>
      </w:rPr>
      <w:t>- Cahier des Charges Stagiaires ISE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F5260"/>
    <w:multiLevelType w:val="hybridMultilevel"/>
    <w:tmpl w:val="C316BB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A5F6D44"/>
    <w:multiLevelType w:val="hybridMultilevel"/>
    <w:tmpl w:val="3EB8680A"/>
    <w:lvl w:ilvl="0" w:tplc="B2BC47BE">
      <w:start w:val="1"/>
      <w:numFmt w:val="bullet"/>
      <w:lvlText w:val="▸"/>
      <w:lvlJc w:val="left"/>
      <w:pPr>
        <w:ind w:left="600" w:hanging="300"/>
      </w:pPr>
    </w:lvl>
    <w:lvl w:ilvl="1" w:tplc="C6E2603A">
      <w:numFmt w:val="decimal"/>
      <w:lvlText w:val=""/>
      <w:lvlJc w:val="left"/>
    </w:lvl>
    <w:lvl w:ilvl="2" w:tplc="24AA095E">
      <w:numFmt w:val="decimal"/>
      <w:lvlText w:val=""/>
      <w:lvlJc w:val="left"/>
    </w:lvl>
    <w:lvl w:ilvl="3" w:tplc="B2DE7EFC">
      <w:numFmt w:val="decimal"/>
      <w:lvlText w:val=""/>
      <w:lvlJc w:val="left"/>
    </w:lvl>
    <w:lvl w:ilvl="4" w:tplc="F93041FE">
      <w:numFmt w:val="decimal"/>
      <w:lvlText w:val=""/>
      <w:lvlJc w:val="left"/>
    </w:lvl>
    <w:lvl w:ilvl="5" w:tplc="43463EC0">
      <w:numFmt w:val="decimal"/>
      <w:lvlText w:val=""/>
      <w:lvlJc w:val="left"/>
    </w:lvl>
    <w:lvl w:ilvl="6" w:tplc="9C5C2568">
      <w:numFmt w:val="decimal"/>
      <w:lvlText w:val=""/>
      <w:lvlJc w:val="left"/>
    </w:lvl>
    <w:lvl w:ilvl="7" w:tplc="7BB41D88">
      <w:numFmt w:val="decimal"/>
      <w:lvlText w:val=""/>
      <w:lvlJc w:val="left"/>
    </w:lvl>
    <w:lvl w:ilvl="8" w:tplc="444A1DE2">
      <w:numFmt w:val="decimal"/>
      <w:lvlText w:val=""/>
      <w:lvlJc w:val="left"/>
    </w:lvl>
  </w:abstractNum>
  <w:abstractNum w:abstractNumId="2" w15:restartNumberingAfterBreak="0">
    <w:nsid w:val="60CB0650"/>
    <w:multiLevelType w:val="hybridMultilevel"/>
    <w:tmpl w:val="961404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96411218">
    <w:abstractNumId w:val="1"/>
    <w:lvlOverride w:ilvl="0">
      <w:startOverride w:val="1"/>
    </w:lvlOverride>
  </w:num>
  <w:num w:numId="2" w16cid:durableId="292563906">
    <w:abstractNumId w:val="2"/>
  </w:num>
  <w:num w:numId="3" w16cid:durableId="1567760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88A"/>
    <w:rsid w:val="00E078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F382F"/>
  <w15:chartTrackingRefBased/>
  <w15:docId w15:val="{9E6664D3-7325-4D7F-9856-436DFD48F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88A"/>
    <w:pPr>
      <w:spacing w:after="0" w:line="240" w:lineRule="auto"/>
    </w:pPr>
    <w:rPr>
      <w:rFonts w:ascii="Arial" w:eastAsia="Arial" w:hAnsi="Arial" w:cs="Arial"/>
      <w:color w:val="000000"/>
      <w:lang w:eastAsia="fr-FR"/>
    </w:rPr>
  </w:style>
  <w:style w:type="paragraph" w:styleId="Titre2">
    <w:name w:val="heading 2"/>
    <w:link w:val="Titre2Car"/>
    <w:uiPriority w:val="9"/>
    <w:unhideWhenUsed/>
    <w:qFormat/>
    <w:rsid w:val="00E0788A"/>
    <w:pPr>
      <w:spacing w:before="240" w:after="120" w:line="240" w:lineRule="auto"/>
      <w:outlineLvl w:val="1"/>
    </w:pPr>
    <w:rPr>
      <w:rFonts w:ascii="Arial" w:eastAsia="Arial" w:hAnsi="Arial" w:cs="Arial"/>
      <w:b/>
      <w:bCs/>
      <w:color w:val="215868"/>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E0788A"/>
    <w:rPr>
      <w:rFonts w:ascii="Arial" w:eastAsia="Arial" w:hAnsi="Arial" w:cs="Arial"/>
      <w:b/>
      <w:bCs/>
      <w:color w:val="215868"/>
      <w:sz w:val="24"/>
      <w:szCs w:val="24"/>
      <w:lang w:eastAsia="fr-FR"/>
    </w:rPr>
  </w:style>
  <w:style w:type="paragraph" w:styleId="Paragraphedeliste">
    <w:name w:val="List Paragraph"/>
    <w:qFormat/>
    <w:rsid w:val="00E0788A"/>
    <w:pPr>
      <w:spacing w:after="0" w:line="240" w:lineRule="auto"/>
    </w:pPr>
    <w:rPr>
      <w:rFonts w:ascii="Arial" w:eastAsia="Arial" w:hAnsi="Arial" w:cs="Arial"/>
      <w:color w:val="000000"/>
      <w:lang w:eastAsia="fr-FR"/>
    </w:rPr>
  </w:style>
  <w:style w:type="paragraph" w:styleId="Pieddepage">
    <w:name w:val="footer"/>
    <w:basedOn w:val="Normal"/>
    <w:link w:val="PieddepageCar"/>
    <w:uiPriority w:val="99"/>
    <w:unhideWhenUsed/>
    <w:rsid w:val="00E0788A"/>
    <w:pPr>
      <w:tabs>
        <w:tab w:val="center" w:pos="4536"/>
        <w:tab w:val="right" w:pos="9072"/>
      </w:tabs>
    </w:pPr>
  </w:style>
  <w:style w:type="character" w:customStyle="1" w:styleId="PieddepageCar">
    <w:name w:val="Pied de page Car"/>
    <w:basedOn w:val="Policepardfaut"/>
    <w:link w:val="Pieddepage"/>
    <w:uiPriority w:val="99"/>
    <w:rsid w:val="00E0788A"/>
    <w:rPr>
      <w:rFonts w:ascii="Arial" w:eastAsia="Arial" w:hAnsi="Arial" w:cs="Arial"/>
      <w:color w:val="00000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3129</Words>
  <Characters>17213</Characters>
  <Application>Microsoft Office Word</Application>
  <DocSecurity>0</DocSecurity>
  <Lines>143</Lines>
  <Paragraphs>40</Paragraphs>
  <ScaleCrop>false</ScaleCrop>
  <Company/>
  <LinksUpToDate>false</LinksUpToDate>
  <CharactersWithSpaces>20302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1</cp:revision>
  <dcterms:created xsi:type="dcterms:W3CDTF">2026-05-06T17:57:00Z</dcterms:created>
  <dcterms:modified xsi:type="dcterms:W3CDTF">2026-05-06T17:58:00Z</dcterms:modified>
</cp:coreProperties>
</file>