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69A5285" w14:textId="77777777" w:rsidR="009533C7" w:rsidRPr="009533C7" w:rsidRDefault="009533C7" w:rsidP="007A6312">
      <w:pPr>
        <w:shd w:val="clear" w:color="auto" w:fill="026D8E"/>
        <w:spacing w:line="240" w:lineRule="auto"/>
        <w:rPr>
          <w:rFonts w:cstheme="minorHAnsi"/>
          <w:color w:val="FFFFFF" w:themeColor="background1"/>
          <w:sz w:val="8"/>
          <w:szCs w:val="8"/>
        </w:rPr>
      </w:pPr>
    </w:p>
    <w:p w14:paraId="2F77F7BD" w14:textId="78B9166E" w:rsidR="00CF6377" w:rsidRPr="009533C7" w:rsidRDefault="001A6A86" w:rsidP="007A6312">
      <w:pPr>
        <w:shd w:val="clear" w:color="auto" w:fill="026D8E"/>
        <w:spacing w:before="240" w:line="240" w:lineRule="auto"/>
        <w:jc w:val="center"/>
        <w:rPr>
          <w:rFonts w:cstheme="minorHAnsi"/>
          <w:color w:val="FFFFFF" w:themeColor="background1"/>
          <w:sz w:val="40"/>
          <w:szCs w:val="40"/>
        </w:rPr>
      </w:pPr>
      <w:r>
        <w:rPr>
          <w:rFonts w:cstheme="minorHAnsi"/>
          <w:color w:val="FFFFFF" w:themeColor="background1"/>
          <w:sz w:val="40"/>
          <w:szCs w:val="40"/>
        </w:rPr>
        <w:t>Note de synthèse</w:t>
      </w:r>
    </w:p>
    <w:p w14:paraId="33AD7C3E" w14:textId="44B0EE54" w:rsidR="000B7CCF" w:rsidRDefault="009533C7" w:rsidP="007A6312">
      <w:pPr>
        <w:shd w:val="clear" w:color="auto" w:fill="026D8E"/>
        <w:spacing w:line="240" w:lineRule="auto"/>
        <w:jc w:val="center"/>
        <w:rPr>
          <w:color w:val="FFFFFF" w:themeColor="background1"/>
        </w:rPr>
      </w:pPr>
      <w:r w:rsidRPr="009533C7">
        <w:rPr>
          <w:color w:val="FFFFFF" w:themeColor="background1"/>
        </w:rPr>
        <w:t xml:space="preserve">FORMATION : </w:t>
      </w:r>
      <w:r w:rsidR="001A6A86">
        <w:rPr>
          <w:color w:val="FFFFFF" w:themeColor="background1"/>
        </w:rPr>
        <w:t>COMPRENDRE ET MODELISER LE PARTAGE DE LA RENTE MINIERE EN AFRIQUE</w:t>
      </w:r>
      <w:r>
        <w:rPr>
          <w:color w:val="FFFFFF" w:themeColor="background1"/>
        </w:rPr>
        <w:br/>
      </w:r>
      <w:r w:rsidR="00222B75" w:rsidRPr="009533C7">
        <w:rPr>
          <w:color w:val="FFFFFF" w:themeColor="background1"/>
        </w:rPr>
        <w:t>Format</w:t>
      </w:r>
      <w:r w:rsidR="001A6A86">
        <w:rPr>
          <w:color w:val="FFFFFF" w:themeColor="background1"/>
        </w:rPr>
        <w:t>eurs</w:t>
      </w:r>
      <w:r w:rsidR="000B7CCF" w:rsidRPr="009533C7">
        <w:rPr>
          <w:color w:val="FFFFFF" w:themeColor="background1"/>
        </w:rPr>
        <w:t xml:space="preserve"> : </w:t>
      </w:r>
      <w:r w:rsidR="001A6A86">
        <w:rPr>
          <w:color w:val="FFFFFF" w:themeColor="background1"/>
        </w:rPr>
        <w:t>Céline de Quatrebarbes, Bertrand La</w:t>
      </w:r>
      <w:r w:rsidR="009C5C0A">
        <w:rPr>
          <w:color w:val="FFFFFF" w:themeColor="background1"/>
        </w:rPr>
        <w:t xml:space="preserve">porte, </w:t>
      </w:r>
      <w:r w:rsidR="001A6A86">
        <w:rPr>
          <w:color w:val="FFFFFF" w:themeColor="background1"/>
        </w:rPr>
        <w:t>Yannick Bouterige</w:t>
      </w:r>
    </w:p>
    <w:p w14:paraId="0C5CFC8E" w14:textId="682741A2" w:rsidR="00200DCD" w:rsidRPr="00212D19" w:rsidRDefault="00200DCD" w:rsidP="007A6312">
      <w:pPr>
        <w:shd w:val="clear" w:color="auto" w:fill="026D8E"/>
        <w:spacing w:line="240" w:lineRule="auto"/>
        <w:jc w:val="center"/>
        <w:rPr>
          <w:color w:val="FFFFFF" w:themeColor="background1"/>
          <w:sz w:val="24"/>
          <w:szCs w:val="24"/>
        </w:rPr>
      </w:pPr>
    </w:p>
    <w:p w14:paraId="10714757" w14:textId="77777777" w:rsidR="00CF3D9A" w:rsidRPr="00CF3D9A" w:rsidRDefault="00CF3D9A" w:rsidP="009C5C0A">
      <w:pPr>
        <w:pStyle w:val="Titre1"/>
        <w:numPr>
          <w:ilvl w:val="0"/>
          <w:numId w:val="0"/>
        </w:numPr>
        <w:ind w:left="360"/>
        <w:rPr>
          <w:rFonts w:ascii="Arial" w:hAnsi="Arial" w:cs="Arial"/>
          <w:color w:val="595959" w:themeColor="text1" w:themeTint="A6"/>
        </w:rPr>
      </w:pPr>
      <w:r w:rsidRPr="00CF3D9A">
        <w:rPr>
          <w:rFonts w:ascii="Arial" w:hAnsi="Arial" w:cs="Arial"/>
          <w:color w:val="595959" w:themeColor="text1" w:themeTint="A6"/>
        </w:rPr>
        <w:t>Introduction</w:t>
      </w:r>
    </w:p>
    <w:p w14:paraId="6CA25BA6" w14:textId="77777777" w:rsidR="00200DCD" w:rsidRDefault="00CF3D9A" w:rsidP="00200DCD">
      <w:pPr>
        <w:pStyle w:val="Texte"/>
        <w:jc w:val="left"/>
        <w:rPr>
          <w:rFonts w:ascii="Arial" w:hAnsi="Arial" w:cs="Arial"/>
          <w:color w:val="595959" w:themeColor="text1" w:themeTint="A6"/>
        </w:rPr>
      </w:pPr>
      <w:r w:rsidRPr="00CF3D9A">
        <w:rPr>
          <w:rFonts w:ascii="Arial" w:hAnsi="Arial" w:cs="Arial"/>
          <w:color w:val="595959" w:themeColor="text1" w:themeTint="A6"/>
        </w:rPr>
        <w:t xml:space="preserve">L’estimation du partage de la rente minière a été réalisée grâce à un </w:t>
      </w:r>
      <w:r w:rsidRPr="00CF3D9A">
        <w:rPr>
          <w:rFonts w:ascii="Arial" w:hAnsi="Arial" w:cs="Arial"/>
          <w:b/>
          <w:color w:val="595959" w:themeColor="text1" w:themeTint="A6"/>
        </w:rPr>
        <w:t>modèle de flux de trésorerie</w:t>
      </w:r>
      <w:r w:rsidRPr="00CF3D9A">
        <w:rPr>
          <w:rFonts w:ascii="Arial" w:hAnsi="Arial" w:cs="Arial"/>
          <w:color w:val="595959" w:themeColor="text1" w:themeTint="A6"/>
        </w:rPr>
        <w:t>, semblable au modèle « Fiscal Analysis of Resource Industries » (FARI), développé par le Fonds Monétaire International (FMI).</w:t>
      </w:r>
    </w:p>
    <w:p w14:paraId="41F6DBBE" w14:textId="77777777" w:rsidR="00200DCD" w:rsidRDefault="00200DCD" w:rsidP="00200DCD">
      <w:pPr>
        <w:pStyle w:val="Texte"/>
        <w:jc w:val="left"/>
        <w:rPr>
          <w:rFonts w:ascii="Arial" w:hAnsi="Arial" w:cs="Arial"/>
          <w:color w:val="595959" w:themeColor="text1" w:themeTint="A6"/>
        </w:rPr>
      </w:pPr>
    </w:p>
    <w:p w14:paraId="173CDAB6" w14:textId="5DA5F00C" w:rsidR="00CF3D9A" w:rsidRPr="00CF3D9A" w:rsidRDefault="00CF3D9A" w:rsidP="00200DCD">
      <w:pPr>
        <w:pStyle w:val="Texte"/>
        <w:jc w:val="left"/>
        <w:rPr>
          <w:rFonts w:ascii="Arial" w:hAnsi="Arial" w:cs="Arial"/>
          <w:color w:val="595959" w:themeColor="text1" w:themeTint="A6"/>
        </w:rPr>
      </w:pPr>
      <w:r w:rsidRPr="00CF3D9A">
        <w:rPr>
          <w:rFonts w:ascii="Arial" w:hAnsi="Arial" w:cs="Arial"/>
          <w:color w:val="595959" w:themeColor="text1" w:themeTint="A6"/>
        </w:rPr>
        <w:t>Dans une première partie, nous verrons les données et hypothèses de ce modèle. Puis, dans une deuxième partie, nous en présenterons les principaux résultats. Enfin, dans une troisième et dernière partie, nous en évoquerons les limites.</w:t>
      </w:r>
    </w:p>
    <w:p w14:paraId="149F3A35" w14:textId="77777777" w:rsidR="00CF3D9A" w:rsidRPr="00CF3D9A" w:rsidRDefault="00CF3D9A" w:rsidP="00CF3D9A">
      <w:pPr>
        <w:rPr>
          <w:rFonts w:ascii="Arial" w:hAnsi="Arial" w:cs="Arial"/>
          <w:color w:val="595959" w:themeColor="text1" w:themeTint="A6"/>
        </w:rPr>
      </w:pPr>
    </w:p>
    <w:p w14:paraId="3B88BEAC" w14:textId="77777777" w:rsidR="00CF3D9A" w:rsidRPr="00CF3D9A" w:rsidRDefault="00CF3D9A" w:rsidP="009C5C0A">
      <w:pPr>
        <w:pStyle w:val="Titre1"/>
        <w:numPr>
          <w:ilvl w:val="0"/>
          <w:numId w:val="0"/>
        </w:numPr>
        <w:ind w:left="360"/>
        <w:rPr>
          <w:rFonts w:ascii="Arial" w:hAnsi="Arial" w:cs="Arial"/>
          <w:color w:val="595959" w:themeColor="text1" w:themeTint="A6"/>
        </w:rPr>
      </w:pPr>
      <w:r w:rsidRPr="00CF3D9A">
        <w:rPr>
          <w:rFonts w:ascii="Arial" w:hAnsi="Arial" w:cs="Arial"/>
          <w:color w:val="595959" w:themeColor="text1" w:themeTint="A6"/>
        </w:rPr>
        <w:t>I) Les données et hypothèses du modèle</w:t>
      </w:r>
    </w:p>
    <w:p w14:paraId="0807A7E7" w14:textId="77777777" w:rsidR="00CF3D9A" w:rsidRPr="00CF3D9A" w:rsidRDefault="00CF3D9A" w:rsidP="00200DCD">
      <w:pPr>
        <w:pStyle w:val="Titre2"/>
        <w:rPr>
          <w:rFonts w:ascii="Arial" w:hAnsi="Arial" w:cs="Arial"/>
          <w:color w:val="595959" w:themeColor="text1" w:themeTint="A6"/>
        </w:rPr>
      </w:pPr>
      <w:r w:rsidRPr="00CF3D9A">
        <w:rPr>
          <w:rFonts w:ascii="Arial" w:hAnsi="Arial" w:cs="Arial"/>
          <w:color w:val="595959" w:themeColor="text1" w:themeTint="A6"/>
        </w:rPr>
        <w:t>1) Les données économiques</w:t>
      </w:r>
    </w:p>
    <w:p w14:paraId="28C0ED1C" w14:textId="77777777" w:rsidR="00CF3D9A" w:rsidRPr="00CF3D9A" w:rsidRDefault="00CF3D9A" w:rsidP="00200DCD">
      <w:pPr>
        <w:pStyle w:val="Titre3"/>
        <w:ind w:left="709"/>
        <w:rPr>
          <w:rFonts w:ascii="Arial" w:hAnsi="Arial" w:cs="Arial"/>
          <w:color w:val="595959" w:themeColor="text1" w:themeTint="A6"/>
        </w:rPr>
      </w:pPr>
      <w:r w:rsidRPr="00CF3D9A">
        <w:rPr>
          <w:rFonts w:ascii="Arial" w:hAnsi="Arial" w:cs="Arial"/>
          <w:color w:val="595959" w:themeColor="text1" w:themeTint="A6"/>
        </w:rPr>
        <w:t>a) La durée de vie</w:t>
      </w:r>
    </w:p>
    <w:p w14:paraId="0C551AC0" w14:textId="77777777" w:rsidR="00CF3D9A" w:rsidRPr="00CF3D9A" w:rsidRDefault="00CF3D9A" w:rsidP="00200DCD">
      <w:pPr>
        <w:pStyle w:val="Texte"/>
        <w:numPr>
          <w:ilvl w:val="0"/>
          <w:numId w:val="16"/>
        </w:numPr>
        <w:ind w:left="1429"/>
        <w:jc w:val="left"/>
        <w:rPr>
          <w:rFonts w:ascii="Arial" w:hAnsi="Arial" w:cs="Arial"/>
          <w:color w:val="595959" w:themeColor="text1" w:themeTint="A6"/>
        </w:rPr>
      </w:pPr>
      <w:r w:rsidRPr="00CF3D9A">
        <w:rPr>
          <w:rFonts w:ascii="Arial" w:hAnsi="Arial" w:cs="Arial"/>
          <w:color w:val="595959" w:themeColor="text1" w:themeTint="A6"/>
        </w:rPr>
        <w:t xml:space="preserve">La </w:t>
      </w:r>
      <w:r w:rsidRPr="00CF3D9A">
        <w:rPr>
          <w:rFonts w:ascii="Arial" w:hAnsi="Arial" w:cs="Arial"/>
          <w:b/>
          <w:color w:val="595959" w:themeColor="text1" w:themeTint="A6"/>
        </w:rPr>
        <w:t>durée de vie</w:t>
      </w:r>
      <w:r w:rsidRPr="00CF3D9A">
        <w:rPr>
          <w:rFonts w:ascii="Arial" w:hAnsi="Arial" w:cs="Arial"/>
          <w:color w:val="595959" w:themeColor="text1" w:themeTint="A6"/>
        </w:rPr>
        <w:t xml:space="preserve"> de la mine est de 11 ans :</w:t>
      </w:r>
    </w:p>
    <w:p w14:paraId="37EFE77B" w14:textId="77777777" w:rsidR="00CF3D9A" w:rsidRPr="00CF3D9A" w:rsidRDefault="00CF3D9A" w:rsidP="00200DCD">
      <w:pPr>
        <w:pStyle w:val="Texte"/>
        <w:numPr>
          <w:ilvl w:val="1"/>
          <w:numId w:val="16"/>
        </w:numPr>
        <w:ind w:left="2149"/>
        <w:jc w:val="left"/>
        <w:rPr>
          <w:rFonts w:ascii="Arial" w:hAnsi="Arial" w:cs="Arial"/>
          <w:color w:val="595959" w:themeColor="text1" w:themeTint="A6"/>
        </w:rPr>
      </w:pPr>
      <w:r w:rsidRPr="00CF3D9A">
        <w:rPr>
          <w:rFonts w:ascii="Arial" w:hAnsi="Arial" w:cs="Arial"/>
          <w:color w:val="595959" w:themeColor="text1" w:themeTint="A6"/>
        </w:rPr>
        <w:t>2 années d’investissements initiaux.</w:t>
      </w:r>
    </w:p>
    <w:p w14:paraId="09902836" w14:textId="77777777" w:rsidR="00CF3D9A" w:rsidRPr="00CF3D9A" w:rsidRDefault="00CF3D9A" w:rsidP="00200DCD">
      <w:pPr>
        <w:pStyle w:val="Texte"/>
        <w:numPr>
          <w:ilvl w:val="1"/>
          <w:numId w:val="16"/>
        </w:numPr>
        <w:ind w:left="2149"/>
        <w:jc w:val="left"/>
        <w:rPr>
          <w:rFonts w:ascii="Arial" w:hAnsi="Arial" w:cs="Arial"/>
          <w:color w:val="595959" w:themeColor="text1" w:themeTint="A6"/>
        </w:rPr>
      </w:pPr>
      <w:r w:rsidRPr="00CF3D9A">
        <w:rPr>
          <w:rFonts w:ascii="Arial" w:hAnsi="Arial" w:cs="Arial"/>
          <w:color w:val="595959" w:themeColor="text1" w:themeTint="A6"/>
        </w:rPr>
        <w:t>8 années d’exploitation.</w:t>
      </w:r>
    </w:p>
    <w:p w14:paraId="7A6360E0" w14:textId="77777777" w:rsidR="00CF3D9A" w:rsidRPr="00CF3D9A" w:rsidRDefault="00CF3D9A" w:rsidP="00200DCD">
      <w:pPr>
        <w:pStyle w:val="Texte"/>
        <w:numPr>
          <w:ilvl w:val="1"/>
          <w:numId w:val="16"/>
        </w:numPr>
        <w:ind w:left="2149"/>
        <w:jc w:val="left"/>
        <w:rPr>
          <w:rFonts w:ascii="Arial" w:hAnsi="Arial" w:cs="Arial"/>
          <w:color w:val="595959" w:themeColor="text1" w:themeTint="A6"/>
        </w:rPr>
      </w:pPr>
      <w:r w:rsidRPr="00CF3D9A">
        <w:rPr>
          <w:rFonts w:ascii="Arial" w:hAnsi="Arial" w:cs="Arial"/>
          <w:color w:val="595959" w:themeColor="text1" w:themeTint="A6"/>
        </w:rPr>
        <w:t>1 dernière année de réhabilitation.</w:t>
      </w:r>
    </w:p>
    <w:p w14:paraId="7BAD9EBF" w14:textId="418F91F9" w:rsidR="00CF3D9A" w:rsidRDefault="00CF3D9A" w:rsidP="00200DCD">
      <w:pPr>
        <w:pStyle w:val="Texte"/>
        <w:numPr>
          <w:ilvl w:val="0"/>
          <w:numId w:val="16"/>
        </w:numPr>
        <w:ind w:left="1429"/>
        <w:jc w:val="left"/>
        <w:rPr>
          <w:rFonts w:ascii="Arial" w:hAnsi="Arial" w:cs="Arial"/>
          <w:color w:val="595959" w:themeColor="text1" w:themeTint="A6"/>
        </w:rPr>
      </w:pPr>
      <w:r w:rsidRPr="00CF3D9A">
        <w:rPr>
          <w:rFonts w:ascii="Arial" w:hAnsi="Arial" w:cs="Arial"/>
          <w:color w:val="595959" w:themeColor="text1" w:themeTint="A6"/>
        </w:rPr>
        <w:t xml:space="preserve">La </w:t>
      </w:r>
      <w:r w:rsidRPr="00CF3D9A">
        <w:rPr>
          <w:rFonts w:ascii="Arial" w:hAnsi="Arial" w:cs="Arial"/>
          <w:b/>
          <w:color w:val="595959" w:themeColor="text1" w:themeTint="A6"/>
        </w:rPr>
        <w:t>superficie</w:t>
      </w:r>
      <w:r w:rsidRPr="00CF3D9A">
        <w:rPr>
          <w:rFonts w:ascii="Arial" w:hAnsi="Arial" w:cs="Arial"/>
          <w:color w:val="595959" w:themeColor="text1" w:themeTint="A6"/>
        </w:rPr>
        <w:t xml:space="preserve"> de la mine est de 100 km².</w:t>
      </w:r>
    </w:p>
    <w:p w14:paraId="3BDFE515" w14:textId="77777777" w:rsidR="00200DCD" w:rsidRPr="00200DCD" w:rsidRDefault="00200DCD" w:rsidP="00200DCD">
      <w:pPr>
        <w:ind w:left="709"/>
        <w:rPr>
          <w:lang w:eastAsia="fr-FR"/>
        </w:rPr>
      </w:pPr>
    </w:p>
    <w:p w14:paraId="4EB0001E" w14:textId="77777777" w:rsidR="00CF3D9A" w:rsidRPr="00CF3D9A" w:rsidRDefault="00CF3D9A" w:rsidP="00200DCD">
      <w:pPr>
        <w:pStyle w:val="Titre3"/>
        <w:ind w:left="709"/>
        <w:rPr>
          <w:rFonts w:ascii="Arial" w:hAnsi="Arial" w:cs="Arial"/>
          <w:color w:val="595959" w:themeColor="text1" w:themeTint="A6"/>
        </w:rPr>
      </w:pPr>
      <w:r w:rsidRPr="00CF3D9A">
        <w:rPr>
          <w:rFonts w:ascii="Arial" w:hAnsi="Arial" w:cs="Arial"/>
          <w:color w:val="595959" w:themeColor="text1" w:themeTint="A6"/>
        </w:rPr>
        <w:t>b) La production de minerai</w:t>
      </w:r>
    </w:p>
    <w:p w14:paraId="51016D1E" w14:textId="77777777" w:rsidR="00CF3D9A" w:rsidRPr="00CF3D9A" w:rsidRDefault="00CF3D9A" w:rsidP="00200DCD">
      <w:pPr>
        <w:pStyle w:val="Texte"/>
        <w:numPr>
          <w:ilvl w:val="0"/>
          <w:numId w:val="17"/>
        </w:numPr>
        <w:ind w:left="1429"/>
        <w:jc w:val="left"/>
        <w:rPr>
          <w:rFonts w:ascii="Arial" w:hAnsi="Arial" w:cs="Arial"/>
          <w:color w:val="595959" w:themeColor="text1" w:themeTint="A6"/>
        </w:rPr>
      </w:pPr>
      <w:r w:rsidRPr="00CF3D9A">
        <w:rPr>
          <w:rFonts w:ascii="Arial" w:hAnsi="Arial" w:cs="Arial"/>
          <w:color w:val="595959" w:themeColor="text1" w:themeTint="A6"/>
        </w:rPr>
        <w:t xml:space="preserve">La </w:t>
      </w:r>
      <w:r w:rsidRPr="00CF3D9A">
        <w:rPr>
          <w:rFonts w:ascii="Arial" w:hAnsi="Arial" w:cs="Arial"/>
          <w:b/>
          <w:color w:val="595959" w:themeColor="text1" w:themeTint="A6"/>
        </w:rPr>
        <w:t>production</w:t>
      </w:r>
      <w:r w:rsidRPr="00CF3D9A">
        <w:rPr>
          <w:rFonts w:ascii="Arial" w:hAnsi="Arial" w:cs="Arial"/>
          <w:color w:val="595959" w:themeColor="text1" w:themeTint="A6"/>
        </w:rPr>
        <w:t xml:space="preserve"> de la mine est estimée à 2 millions d’onces d’or, soit 250 000 oz/an.</w:t>
      </w:r>
    </w:p>
    <w:p w14:paraId="3EC3F928" w14:textId="77777777" w:rsidR="00CF3D9A" w:rsidRPr="00CF3D9A" w:rsidRDefault="00CF3D9A" w:rsidP="00200DCD">
      <w:pPr>
        <w:pStyle w:val="Texte"/>
        <w:numPr>
          <w:ilvl w:val="0"/>
          <w:numId w:val="17"/>
        </w:numPr>
        <w:ind w:left="1429"/>
        <w:jc w:val="left"/>
        <w:rPr>
          <w:rFonts w:ascii="Arial" w:hAnsi="Arial" w:cs="Arial"/>
          <w:color w:val="595959" w:themeColor="text1" w:themeTint="A6"/>
        </w:rPr>
      </w:pPr>
      <w:r w:rsidRPr="00CF3D9A">
        <w:rPr>
          <w:rFonts w:ascii="Arial" w:hAnsi="Arial" w:cs="Arial"/>
          <w:color w:val="595959" w:themeColor="text1" w:themeTint="A6"/>
        </w:rPr>
        <w:t xml:space="preserve">Le </w:t>
      </w:r>
      <w:r w:rsidRPr="00CF3D9A">
        <w:rPr>
          <w:rFonts w:ascii="Arial" w:hAnsi="Arial" w:cs="Arial"/>
          <w:b/>
          <w:color w:val="595959" w:themeColor="text1" w:themeTint="A6"/>
        </w:rPr>
        <w:t>cours</w:t>
      </w:r>
      <w:r w:rsidRPr="00CF3D9A">
        <w:rPr>
          <w:rFonts w:ascii="Arial" w:hAnsi="Arial" w:cs="Arial"/>
          <w:color w:val="595959" w:themeColor="text1" w:themeTint="A6"/>
        </w:rPr>
        <w:t xml:space="preserve"> de l’or est supposé stable à 1 300 $/oz.</w:t>
      </w:r>
    </w:p>
    <w:p w14:paraId="7F3A4486" w14:textId="77777777" w:rsidR="00CF3D9A" w:rsidRPr="00CF3D9A" w:rsidRDefault="00CF3D9A" w:rsidP="00200DCD">
      <w:pPr>
        <w:ind w:left="709"/>
        <w:rPr>
          <w:rFonts w:ascii="Arial" w:hAnsi="Arial" w:cs="Arial"/>
          <w:color w:val="595959" w:themeColor="text1" w:themeTint="A6"/>
        </w:rPr>
      </w:pPr>
    </w:p>
    <w:p w14:paraId="7963D671" w14:textId="77777777" w:rsidR="00CF3D9A" w:rsidRPr="00CF3D9A" w:rsidRDefault="00CF3D9A" w:rsidP="00200DCD">
      <w:pPr>
        <w:pStyle w:val="Titre3"/>
        <w:ind w:left="709"/>
        <w:rPr>
          <w:rFonts w:ascii="Arial" w:hAnsi="Arial" w:cs="Arial"/>
          <w:color w:val="595959" w:themeColor="text1" w:themeTint="A6"/>
        </w:rPr>
      </w:pPr>
      <w:r w:rsidRPr="00CF3D9A">
        <w:rPr>
          <w:rFonts w:ascii="Arial" w:hAnsi="Arial" w:cs="Arial"/>
          <w:color w:val="595959" w:themeColor="text1" w:themeTint="A6"/>
        </w:rPr>
        <w:t>c) La structure des coûts</w:t>
      </w:r>
    </w:p>
    <w:p w14:paraId="0626A05F" w14:textId="77777777" w:rsidR="00CF3D9A" w:rsidRPr="00CF3D9A" w:rsidRDefault="00CF3D9A" w:rsidP="00200DCD">
      <w:pPr>
        <w:pStyle w:val="Texte"/>
        <w:numPr>
          <w:ilvl w:val="0"/>
          <w:numId w:val="18"/>
        </w:numPr>
        <w:ind w:left="1429"/>
        <w:jc w:val="left"/>
        <w:rPr>
          <w:rFonts w:ascii="Arial" w:hAnsi="Arial" w:cs="Arial"/>
          <w:color w:val="595959" w:themeColor="text1" w:themeTint="A6"/>
        </w:rPr>
      </w:pPr>
      <w:r w:rsidRPr="00CF3D9A">
        <w:rPr>
          <w:rFonts w:ascii="Arial" w:hAnsi="Arial" w:cs="Arial"/>
          <w:color w:val="595959" w:themeColor="text1" w:themeTint="A6"/>
        </w:rPr>
        <w:t xml:space="preserve">Les </w:t>
      </w:r>
      <w:r w:rsidRPr="00CF3D9A">
        <w:rPr>
          <w:rFonts w:ascii="Arial" w:hAnsi="Arial" w:cs="Arial"/>
          <w:b/>
          <w:color w:val="595959" w:themeColor="text1" w:themeTint="A6"/>
        </w:rPr>
        <w:t>dépenses d’investissements</w:t>
      </w:r>
      <w:r w:rsidRPr="00CF3D9A">
        <w:rPr>
          <w:rFonts w:ascii="Arial" w:hAnsi="Arial" w:cs="Arial"/>
          <w:color w:val="595959" w:themeColor="text1" w:themeTint="A6"/>
        </w:rPr>
        <w:t xml:space="preserve"> ou</w:t>
      </w:r>
      <w:r w:rsidRPr="00CF3D9A">
        <w:rPr>
          <w:rFonts w:ascii="Arial" w:hAnsi="Arial" w:cs="Arial"/>
          <w:b/>
          <w:color w:val="595959" w:themeColor="text1" w:themeTint="A6"/>
        </w:rPr>
        <w:t xml:space="preserve"> coûts en capital (CAPEX)</w:t>
      </w:r>
      <w:r w:rsidRPr="00CF3D9A">
        <w:rPr>
          <w:rFonts w:ascii="Arial" w:hAnsi="Arial" w:cs="Arial"/>
          <w:color w:val="595959" w:themeColor="text1" w:themeTint="A6"/>
        </w:rPr>
        <w:t xml:space="preserve"> comprennent :</w:t>
      </w:r>
    </w:p>
    <w:p w14:paraId="12E2FE9B" w14:textId="77777777" w:rsidR="00CF3D9A" w:rsidRPr="00CF3D9A" w:rsidRDefault="00CF3D9A" w:rsidP="00200DCD">
      <w:pPr>
        <w:pStyle w:val="Texte"/>
        <w:numPr>
          <w:ilvl w:val="1"/>
          <w:numId w:val="18"/>
        </w:numPr>
        <w:ind w:left="2149"/>
        <w:jc w:val="left"/>
        <w:rPr>
          <w:rFonts w:ascii="Arial" w:hAnsi="Arial" w:cs="Arial"/>
          <w:color w:val="595959" w:themeColor="text1" w:themeTint="A6"/>
        </w:rPr>
      </w:pPr>
      <w:r w:rsidRPr="00CF3D9A">
        <w:rPr>
          <w:rFonts w:ascii="Arial" w:hAnsi="Arial" w:cs="Arial"/>
          <w:color w:val="595959" w:themeColor="text1" w:themeTint="A6"/>
        </w:rPr>
        <w:t>Les constructions industrielles, à hauteur de 50 millions $ la première année et 100 millions $ la deuxième année.</w:t>
      </w:r>
    </w:p>
    <w:p w14:paraId="294E4C96" w14:textId="77777777" w:rsidR="00CF3D9A" w:rsidRPr="00CF3D9A" w:rsidRDefault="00CF3D9A" w:rsidP="00200DCD">
      <w:pPr>
        <w:pStyle w:val="Texte"/>
        <w:numPr>
          <w:ilvl w:val="1"/>
          <w:numId w:val="18"/>
        </w:numPr>
        <w:ind w:left="2149"/>
        <w:jc w:val="left"/>
        <w:rPr>
          <w:rFonts w:ascii="Arial" w:hAnsi="Arial" w:cs="Arial"/>
          <w:color w:val="595959" w:themeColor="text1" w:themeTint="A6"/>
        </w:rPr>
      </w:pPr>
      <w:r w:rsidRPr="00CF3D9A">
        <w:rPr>
          <w:rFonts w:ascii="Arial" w:hAnsi="Arial" w:cs="Arial"/>
          <w:color w:val="595959" w:themeColor="text1" w:themeTint="A6"/>
        </w:rPr>
        <w:t>Les biens d’équipement, à hauteur de 50 millions $ la deuxième année, puis 5 millions $ de renouvellement durant chacune des 8 années d’exploitation.</w:t>
      </w:r>
    </w:p>
    <w:p w14:paraId="3BDCECE3" w14:textId="77777777" w:rsidR="00CF3D9A" w:rsidRPr="00CF3D9A" w:rsidRDefault="00CF3D9A" w:rsidP="00200DCD">
      <w:pPr>
        <w:pStyle w:val="Texte"/>
        <w:numPr>
          <w:ilvl w:val="1"/>
          <w:numId w:val="18"/>
        </w:numPr>
        <w:ind w:left="2149"/>
        <w:jc w:val="left"/>
        <w:rPr>
          <w:rFonts w:ascii="Arial" w:hAnsi="Arial" w:cs="Arial"/>
          <w:color w:val="595959" w:themeColor="text1" w:themeTint="A6"/>
        </w:rPr>
      </w:pPr>
      <w:r w:rsidRPr="00CF3D9A">
        <w:rPr>
          <w:rFonts w:ascii="Arial" w:hAnsi="Arial" w:cs="Arial"/>
          <w:color w:val="595959" w:themeColor="text1" w:themeTint="A6"/>
        </w:rPr>
        <w:t>La réhabilitation du site, à hauteur de 10 millions $ la dernière année.</w:t>
      </w:r>
    </w:p>
    <w:p w14:paraId="25788480" w14:textId="77777777" w:rsidR="00CF3D9A" w:rsidRPr="00CF3D9A" w:rsidRDefault="00CF3D9A" w:rsidP="00200DCD">
      <w:pPr>
        <w:pStyle w:val="Texte"/>
        <w:numPr>
          <w:ilvl w:val="0"/>
          <w:numId w:val="18"/>
        </w:numPr>
        <w:ind w:left="1429"/>
        <w:jc w:val="left"/>
        <w:rPr>
          <w:rFonts w:ascii="Arial" w:hAnsi="Arial" w:cs="Arial"/>
          <w:color w:val="595959" w:themeColor="text1" w:themeTint="A6"/>
        </w:rPr>
      </w:pPr>
      <w:r w:rsidRPr="00CF3D9A">
        <w:rPr>
          <w:rFonts w:ascii="Arial" w:hAnsi="Arial" w:cs="Arial"/>
          <w:color w:val="595959" w:themeColor="text1" w:themeTint="A6"/>
        </w:rPr>
        <w:t xml:space="preserve">L’investissement initial est </w:t>
      </w:r>
      <w:r w:rsidRPr="00CF3D9A">
        <w:rPr>
          <w:rFonts w:ascii="Arial" w:hAnsi="Arial" w:cs="Arial"/>
          <w:b/>
          <w:color w:val="595959" w:themeColor="text1" w:themeTint="A6"/>
        </w:rPr>
        <w:t>financé par</w:t>
      </w:r>
      <w:r w:rsidRPr="00CF3D9A">
        <w:rPr>
          <w:rFonts w:ascii="Arial" w:hAnsi="Arial" w:cs="Arial"/>
          <w:color w:val="595959" w:themeColor="text1" w:themeTint="A6"/>
        </w:rPr>
        <w:t xml:space="preserve"> </w:t>
      </w:r>
      <w:r w:rsidRPr="00CF3D9A">
        <w:rPr>
          <w:rFonts w:ascii="Arial" w:hAnsi="Arial" w:cs="Arial"/>
          <w:b/>
          <w:color w:val="595959" w:themeColor="text1" w:themeTint="A6"/>
        </w:rPr>
        <w:t>emprunt</w:t>
      </w:r>
      <w:r w:rsidRPr="00CF3D9A">
        <w:rPr>
          <w:rFonts w:ascii="Arial" w:hAnsi="Arial" w:cs="Arial"/>
          <w:color w:val="595959" w:themeColor="text1" w:themeTint="A6"/>
        </w:rPr>
        <w:t>. Durant chacune des 2 premières années, la société minière s’endette auprès de sa société minière, avec deux emprunts à amortissements constants, sur 5 ans, au taux de 10%.</w:t>
      </w:r>
    </w:p>
    <w:p w14:paraId="1B7FF9A5" w14:textId="77777777" w:rsidR="00CF3D9A" w:rsidRPr="00CF3D9A" w:rsidRDefault="00CF3D9A" w:rsidP="00200DCD">
      <w:pPr>
        <w:pStyle w:val="Texte"/>
        <w:numPr>
          <w:ilvl w:val="0"/>
          <w:numId w:val="18"/>
        </w:numPr>
        <w:ind w:left="1429"/>
        <w:jc w:val="left"/>
        <w:rPr>
          <w:rFonts w:ascii="Arial" w:hAnsi="Arial" w:cs="Arial"/>
          <w:color w:val="595959" w:themeColor="text1" w:themeTint="A6"/>
        </w:rPr>
      </w:pPr>
      <w:r w:rsidRPr="00CF3D9A">
        <w:rPr>
          <w:rFonts w:ascii="Arial" w:hAnsi="Arial" w:cs="Arial"/>
          <w:color w:val="595959" w:themeColor="text1" w:themeTint="A6"/>
        </w:rPr>
        <w:lastRenderedPageBreak/>
        <w:t xml:space="preserve">Les </w:t>
      </w:r>
      <w:r w:rsidRPr="00CF3D9A">
        <w:rPr>
          <w:rFonts w:ascii="Arial" w:hAnsi="Arial" w:cs="Arial"/>
          <w:b/>
          <w:color w:val="595959" w:themeColor="text1" w:themeTint="A6"/>
        </w:rPr>
        <w:t>dépenses d’exploitation</w:t>
      </w:r>
      <w:r w:rsidRPr="00CF3D9A">
        <w:rPr>
          <w:rFonts w:ascii="Arial" w:hAnsi="Arial" w:cs="Arial"/>
          <w:color w:val="595959" w:themeColor="text1" w:themeTint="A6"/>
        </w:rPr>
        <w:t xml:space="preserve"> ou</w:t>
      </w:r>
      <w:r w:rsidRPr="00CF3D9A">
        <w:rPr>
          <w:rFonts w:ascii="Arial" w:hAnsi="Arial" w:cs="Arial"/>
          <w:b/>
          <w:color w:val="595959" w:themeColor="text1" w:themeTint="A6"/>
        </w:rPr>
        <w:t xml:space="preserve"> coûts opérationnels (OPEX)</w:t>
      </w:r>
      <w:r w:rsidRPr="00CF3D9A">
        <w:rPr>
          <w:rFonts w:ascii="Arial" w:hAnsi="Arial" w:cs="Arial"/>
          <w:color w:val="595959" w:themeColor="text1" w:themeTint="A6"/>
        </w:rPr>
        <w:t xml:space="preserve"> s’élèvent à 700 $/oz.</w:t>
      </w:r>
    </w:p>
    <w:p w14:paraId="1798EBF0" w14:textId="77777777" w:rsidR="00CF3D9A" w:rsidRPr="00CF3D9A" w:rsidRDefault="00CF3D9A" w:rsidP="00CF3D9A">
      <w:pPr>
        <w:rPr>
          <w:rFonts w:ascii="Arial" w:hAnsi="Arial" w:cs="Arial"/>
          <w:color w:val="595959" w:themeColor="text1" w:themeTint="A6"/>
        </w:rPr>
      </w:pPr>
    </w:p>
    <w:p w14:paraId="60A0041E" w14:textId="77777777" w:rsidR="00CF3D9A" w:rsidRPr="00CF3D9A" w:rsidRDefault="00CF3D9A" w:rsidP="00CF3D9A">
      <w:pPr>
        <w:pStyle w:val="Lgende"/>
        <w:keepNext/>
        <w:rPr>
          <w:rFonts w:ascii="Arial" w:hAnsi="Arial" w:cs="Arial"/>
          <w:color w:val="595959" w:themeColor="text1" w:themeTint="A6"/>
          <w:sz w:val="22"/>
          <w:szCs w:val="22"/>
        </w:rPr>
      </w:pPr>
      <w:r w:rsidRPr="00CF3D9A">
        <w:rPr>
          <w:rFonts w:ascii="Arial" w:hAnsi="Arial" w:cs="Arial"/>
          <w:color w:val="595959" w:themeColor="text1" w:themeTint="A6"/>
          <w:sz w:val="22"/>
          <w:szCs w:val="22"/>
        </w:rPr>
        <w:t xml:space="preserve">Graphique </w:t>
      </w:r>
      <w:r w:rsidRPr="00CF3D9A">
        <w:rPr>
          <w:rFonts w:ascii="Arial" w:hAnsi="Arial" w:cs="Arial"/>
          <w:color w:val="595959" w:themeColor="text1" w:themeTint="A6"/>
          <w:sz w:val="22"/>
          <w:szCs w:val="22"/>
        </w:rPr>
        <w:fldChar w:fldCharType="begin"/>
      </w:r>
      <w:r w:rsidRPr="00CF3D9A">
        <w:rPr>
          <w:rFonts w:ascii="Arial" w:hAnsi="Arial" w:cs="Arial"/>
          <w:color w:val="595959" w:themeColor="text1" w:themeTint="A6"/>
          <w:sz w:val="22"/>
          <w:szCs w:val="22"/>
        </w:rPr>
        <w:instrText xml:space="preserve"> SEQ Graphique \* ARABIC </w:instrText>
      </w:r>
      <w:r w:rsidRPr="00CF3D9A">
        <w:rPr>
          <w:rFonts w:ascii="Arial" w:hAnsi="Arial" w:cs="Arial"/>
          <w:color w:val="595959" w:themeColor="text1" w:themeTint="A6"/>
          <w:sz w:val="22"/>
          <w:szCs w:val="22"/>
        </w:rPr>
        <w:fldChar w:fldCharType="separate"/>
      </w:r>
      <w:r w:rsidRPr="00CF3D9A">
        <w:rPr>
          <w:rFonts w:ascii="Arial" w:hAnsi="Arial" w:cs="Arial"/>
          <w:noProof/>
          <w:color w:val="595959" w:themeColor="text1" w:themeTint="A6"/>
          <w:sz w:val="22"/>
          <w:szCs w:val="22"/>
        </w:rPr>
        <w:t>1</w:t>
      </w:r>
      <w:r w:rsidRPr="00CF3D9A">
        <w:rPr>
          <w:rFonts w:ascii="Arial" w:hAnsi="Arial" w:cs="Arial"/>
          <w:noProof/>
          <w:color w:val="595959" w:themeColor="text1" w:themeTint="A6"/>
          <w:sz w:val="22"/>
          <w:szCs w:val="22"/>
        </w:rPr>
        <w:fldChar w:fldCharType="end"/>
      </w:r>
      <w:r w:rsidRPr="00CF3D9A">
        <w:rPr>
          <w:rFonts w:ascii="Arial" w:hAnsi="Arial" w:cs="Arial"/>
          <w:color w:val="595959" w:themeColor="text1" w:themeTint="A6"/>
          <w:sz w:val="22"/>
          <w:szCs w:val="22"/>
        </w:rPr>
        <w:t> : Les coûts annuels (valeur courante)</w:t>
      </w:r>
    </w:p>
    <w:p w14:paraId="75CAD9FF" w14:textId="77777777" w:rsidR="00CF3D9A" w:rsidRPr="00CF3D9A" w:rsidRDefault="00CF3D9A" w:rsidP="00CF3D9A">
      <w:pPr>
        <w:rPr>
          <w:color w:val="595959" w:themeColor="text1" w:themeTint="A6"/>
        </w:rPr>
      </w:pPr>
      <w:r w:rsidRPr="00CF3D9A">
        <w:rPr>
          <w:noProof/>
          <w:color w:val="595959" w:themeColor="text1" w:themeTint="A6"/>
          <w:lang w:eastAsia="fr-FR"/>
        </w:rPr>
        <w:drawing>
          <wp:inline distT="0" distB="0" distL="0" distR="0" wp14:anchorId="7F794648" wp14:editId="6A8A2300">
            <wp:extent cx="5760720" cy="2700000"/>
            <wp:effectExtent l="0" t="0" r="0" b="0"/>
            <wp:docPr id="1" name="Graphique 1"/>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021A0972" w14:textId="77777777" w:rsidR="00CF3D9A" w:rsidRPr="00CF3D9A" w:rsidRDefault="00CF3D9A" w:rsidP="00CF3D9A">
      <w:pPr>
        <w:rPr>
          <w:color w:val="595959" w:themeColor="text1" w:themeTint="A6"/>
        </w:rPr>
      </w:pPr>
    </w:p>
    <w:p w14:paraId="3BE90CFE" w14:textId="77777777" w:rsidR="00CF3D9A" w:rsidRPr="00CF3D9A" w:rsidRDefault="00CF3D9A" w:rsidP="00200DCD">
      <w:pPr>
        <w:pStyle w:val="Titre2"/>
        <w:rPr>
          <w:rFonts w:ascii="Arial" w:hAnsi="Arial" w:cs="Arial"/>
          <w:color w:val="595959" w:themeColor="text1" w:themeTint="A6"/>
        </w:rPr>
      </w:pPr>
      <w:r w:rsidRPr="00CF3D9A">
        <w:rPr>
          <w:rFonts w:ascii="Arial" w:hAnsi="Arial" w:cs="Arial"/>
          <w:color w:val="595959" w:themeColor="text1" w:themeTint="A6"/>
        </w:rPr>
        <w:t>2) Les données fiscales</w:t>
      </w:r>
    </w:p>
    <w:p w14:paraId="76A4370D" w14:textId="77777777" w:rsidR="00CF3D9A" w:rsidRPr="00CF3D9A" w:rsidRDefault="00CF3D9A" w:rsidP="00200DCD">
      <w:pPr>
        <w:pStyle w:val="Titre3"/>
        <w:ind w:left="709"/>
        <w:rPr>
          <w:rFonts w:ascii="Arial" w:hAnsi="Arial" w:cs="Arial"/>
          <w:color w:val="595959" w:themeColor="text1" w:themeTint="A6"/>
        </w:rPr>
      </w:pPr>
      <w:r w:rsidRPr="00CF3D9A">
        <w:rPr>
          <w:rFonts w:ascii="Arial" w:hAnsi="Arial" w:cs="Arial"/>
          <w:color w:val="595959" w:themeColor="text1" w:themeTint="A6"/>
        </w:rPr>
        <w:t>a) Les impôts sur la production</w:t>
      </w:r>
    </w:p>
    <w:p w14:paraId="14E0E935" w14:textId="77777777" w:rsidR="00CF3D9A" w:rsidRPr="00CF3D9A" w:rsidRDefault="00CF3D9A" w:rsidP="00200DCD">
      <w:pPr>
        <w:pStyle w:val="Texte"/>
        <w:numPr>
          <w:ilvl w:val="0"/>
          <w:numId w:val="19"/>
        </w:numPr>
        <w:ind w:left="1429"/>
        <w:jc w:val="left"/>
        <w:rPr>
          <w:rFonts w:ascii="Arial" w:hAnsi="Arial" w:cs="Arial"/>
          <w:color w:val="595959" w:themeColor="text1" w:themeTint="A6"/>
        </w:rPr>
      </w:pPr>
      <w:r w:rsidRPr="00CF3D9A">
        <w:rPr>
          <w:rFonts w:ascii="Arial" w:hAnsi="Arial" w:cs="Arial"/>
          <w:color w:val="595959" w:themeColor="text1" w:themeTint="A6"/>
        </w:rPr>
        <w:t xml:space="preserve">Les </w:t>
      </w:r>
      <w:r w:rsidRPr="00CF3D9A">
        <w:rPr>
          <w:rFonts w:ascii="Arial" w:hAnsi="Arial" w:cs="Arial"/>
          <w:b/>
          <w:color w:val="595959" w:themeColor="text1" w:themeTint="A6"/>
        </w:rPr>
        <w:t>droits fixes</w:t>
      </w:r>
      <w:r w:rsidRPr="00CF3D9A">
        <w:rPr>
          <w:rFonts w:ascii="Arial" w:hAnsi="Arial" w:cs="Arial"/>
          <w:color w:val="595959" w:themeColor="text1" w:themeTint="A6"/>
        </w:rPr>
        <w:t xml:space="preserve"> s’élèvent à 100 000 $ à l’attribution du permis d’exploitation.</w:t>
      </w:r>
    </w:p>
    <w:p w14:paraId="135F56EC" w14:textId="77777777" w:rsidR="00CF3D9A" w:rsidRPr="00CF3D9A" w:rsidRDefault="00CF3D9A" w:rsidP="00200DCD">
      <w:pPr>
        <w:pStyle w:val="Texte"/>
        <w:numPr>
          <w:ilvl w:val="0"/>
          <w:numId w:val="19"/>
        </w:numPr>
        <w:ind w:left="1429"/>
        <w:jc w:val="left"/>
        <w:rPr>
          <w:rFonts w:ascii="Arial" w:hAnsi="Arial" w:cs="Arial"/>
          <w:color w:val="595959" w:themeColor="text1" w:themeTint="A6"/>
        </w:rPr>
      </w:pPr>
      <w:r w:rsidRPr="00CF3D9A">
        <w:rPr>
          <w:rFonts w:ascii="Arial" w:hAnsi="Arial" w:cs="Arial"/>
          <w:color w:val="595959" w:themeColor="text1" w:themeTint="A6"/>
        </w:rPr>
        <w:t xml:space="preserve">La </w:t>
      </w:r>
      <w:r w:rsidRPr="00CF3D9A">
        <w:rPr>
          <w:rFonts w:ascii="Arial" w:hAnsi="Arial" w:cs="Arial"/>
          <w:b/>
          <w:color w:val="595959" w:themeColor="text1" w:themeTint="A6"/>
        </w:rPr>
        <w:t>redevance superficiaire</w:t>
      </w:r>
      <w:r w:rsidRPr="00CF3D9A">
        <w:rPr>
          <w:rFonts w:ascii="Arial" w:hAnsi="Arial" w:cs="Arial"/>
          <w:color w:val="595959" w:themeColor="text1" w:themeTint="A6"/>
        </w:rPr>
        <w:t xml:space="preserve"> s’élève à 100 $/km²/an.</w:t>
      </w:r>
    </w:p>
    <w:p w14:paraId="4B9645D8" w14:textId="77777777" w:rsidR="00CF3D9A" w:rsidRPr="00CF3D9A" w:rsidRDefault="00CF3D9A" w:rsidP="00200DCD">
      <w:pPr>
        <w:pStyle w:val="Texte"/>
        <w:numPr>
          <w:ilvl w:val="0"/>
          <w:numId w:val="19"/>
        </w:numPr>
        <w:ind w:left="1429"/>
        <w:jc w:val="left"/>
        <w:rPr>
          <w:rFonts w:ascii="Arial" w:hAnsi="Arial" w:cs="Arial"/>
          <w:color w:val="595959" w:themeColor="text1" w:themeTint="A6"/>
        </w:rPr>
      </w:pPr>
      <w:r w:rsidRPr="00CF3D9A">
        <w:rPr>
          <w:rFonts w:ascii="Arial" w:hAnsi="Arial" w:cs="Arial"/>
          <w:color w:val="595959" w:themeColor="text1" w:themeTint="A6"/>
        </w:rPr>
        <w:t xml:space="preserve">La </w:t>
      </w:r>
      <w:r w:rsidRPr="00CF3D9A">
        <w:rPr>
          <w:rFonts w:ascii="Arial" w:hAnsi="Arial" w:cs="Arial"/>
          <w:b/>
          <w:color w:val="595959" w:themeColor="text1" w:themeTint="A6"/>
        </w:rPr>
        <w:t>redevance minière</w:t>
      </w:r>
      <w:r w:rsidRPr="00CF3D9A">
        <w:rPr>
          <w:rFonts w:ascii="Arial" w:hAnsi="Arial" w:cs="Arial"/>
          <w:color w:val="595959" w:themeColor="text1" w:themeTint="A6"/>
        </w:rPr>
        <w:t xml:space="preserve"> ad valorem s’élève à :</w:t>
      </w:r>
    </w:p>
    <w:p w14:paraId="5F024C74" w14:textId="77777777" w:rsidR="00CF3D9A" w:rsidRPr="00CF3D9A" w:rsidRDefault="00CF3D9A" w:rsidP="00200DCD">
      <w:pPr>
        <w:pStyle w:val="Texte"/>
        <w:numPr>
          <w:ilvl w:val="1"/>
          <w:numId w:val="19"/>
        </w:numPr>
        <w:ind w:left="2149"/>
        <w:jc w:val="left"/>
        <w:rPr>
          <w:rFonts w:ascii="Arial" w:hAnsi="Arial" w:cs="Arial"/>
          <w:color w:val="595959" w:themeColor="text1" w:themeTint="A6"/>
        </w:rPr>
      </w:pPr>
      <w:r w:rsidRPr="00CF3D9A">
        <w:rPr>
          <w:rFonts w:ascii="Arial" w:hAnsi="Arial" w:cs="Arial"/>
          <w:color w:val="595959" w:themeColor="text1" w:themeTint="A6"/>
        </w:rPr>
        <w:t>3% pour un cours de l’or inférieur à 1 300 $/oz.</w:t>
      </w:r>
    </w:p>
    <w:p w14:paraId="763BE7F0" w14:textId="77777777" w:rsidR="00CF3D9A" w:rsidRPr="00CF3D9A" w:rsidRDefault="00CF3D9A" w:rsidP="00200DCD">
      <w:pPr>
        <w:pStyle w:val="Texte"/>
        <w:numPr>
          <w:ilvl w:val="1"/>
          <w:numId w:val="19"/>
        </w:numPr>
        <w:ind w:left="2149"/>
        <w:jc w:val="left"/>
        <w:rPr>
          <w:rFonts w:ascii="Arial" w:hAnsi="Arial" w:cs="Arial"/>
          <w:color w:val="595959" w:themeColor="text1" w:themeTint="A6"/>
        </w:rPr>
      </w:pPr>
      <w:r w:rsidRPr="00CF3D9A">
        <w:rPr>
          <w:rFonts w:ascii="Arial" w:hAnsi="Arial" w:cs="Arial"/>
          <w:color w:val="595959" w:themeColor="text1" w:themeTint="A6"/>
        </w:rPr>
        <w:t>4% pour un cours de l’or compris entre 1 300 et 1 500 $/oz.</w:t>
      </w:r>
    </w:p>
    <w:p w14:paraId="733DCE4E" w14:textId="77777777" w:rsidR="00CF3D9A" w:rsidRPr="00CF3D9A" w:rsidRDefault="00CF3D9A" w:rsidP="00200DCD">
      <w:pPr>
        <w:pStyle w:val="Texte"/>
        <w:numPr>
          <w:ilvl w:val="1"/>
          <w:numId w:val="19"/>
        </w:numPr>
        <w:ind w:left="2149"/>
        <w:jc w:val="left"/>
        <w:rPr>
          <w:rFonts w:ascii="Arial" w:hAnsi="Arial" w:cs="Arial"/>
          <w:color w:val="595959" w:themeColor="text1" w:themeTint="A6"/>
        </w:rPr>
      </w:pPr>
      <w:r w:rsidRPr="00CF3D9A">
        <w:rPr>
          <w:rFonts w:ascii="Arial" w:hAnsi="Arial" w:cs="Arial"/>
          <w:color w:val="595959" w:themeColor="text1" w:themeTint="A6"/>
        </w:rPr>
        <w:t>5% pour un cours de l’or supérieur ou égal à 1 500 $/oz.</w:t>
      </w:r>
    </w:p>
    <w:p w14:paraId="25208ABC" w14:textId="77777777" w:rsidR="00CF3D9A" w:rsidRPr="00CF3D9A" w:rsidRDefault="00CF3D9A" w:rsidP="00200DCD">
      <w:pPr>
        <w:ind w:left="709"/>
        <w:rPr>
          <w:rFonts w:ascii="Arial" w:hAnsi="Arial" w:cs="Arial"/>
          <w:color w:val="595959" w:themeColor="text1" w:themeTint="A6"/>
        </w:rPr>
      </w:pPr>
    </w:p>
    <w:p w14:paraId="6C7726A3" w14:textId="77777777" w:rsidR="00CF3D9A" w:rsidRPr="00CF3D9A" w:rsidRDefault="00CF3D9A" w:rsidP="00200DCD">
      <w:pPr>
        <w:pStyle w:val="Titre3"/>
        <w:ind w:left="709"/>
        <w:rPr>
          <w:rFonts w:ascii="Arial" w:hAnsi="Arial" w:cs="Arial"/>
          <w:color w:val="595959" w:themeColor="text1" w:themeTint="A6"/>
        </w:rPr>
      </w:pPr>
      <w:r w:rsidRPr="00CF3D9A">
        <w:rPr>
          <w:rFonts w:ascii="Arial" w:hAnsi="Arial" w:cs="Arial"/>
          <w:color w:val="595959" w:themeColor="text1" w:themeTint="A6"/>
        </w:rPr>
        <w:t>b) La taxe sur la rente</w:t>
      </w:r>
    </w:p>
    <w:p w14:paraId="32121AF9" w14:textId="77777777" w:rsidR="00CF3D9A" w:rsidRPr="00CF3D9A" w:rsidRDefault="00CF3D9A" w:rsidP="00200DCD">
      <w:pPr>
        <w:pStyle w:val="Texte"/>
        <w:numPr>
          <w:ilvl w:val="0"/>
          <w:numId w:val="20"/>
        </w:numPr>
        <w:ind w:left="1429"/>
        <w:jc w:val="left"/>
        <w:rPr>
          <w:rFonts w:ascii="Arial" w:hAnsi="Arial" w:cs="Arial"/>
          <w:color w:val="595959" w:themeColor="text1" w:themeTint="A6"/>
        </w:rPr>
      </w:pPr>
      <w:r w:rsidRPr="00CF3D9A">
        <w:rPr>
          <w:rFonts w:ascii="Arial" w:hAnsi="Arial" w:cs="Arial"/>
          <w:color w:val="595959" w:themeColor="text1" w:themeTint="A6"/>
        </w:rPr>
        <w:t xml:space="preserve">Le taux de la </w:t>
      </w:r>
      <w:r w:rsidRPr="00CF3D9A">
        <w:rPr>
          <w:rFonts w:ascii="Arial" w:hAnsi="Arial" w:cs="Arial"/>
          <w:b/>
          <w:color w:val="595959" w:themeColor="text1" w:themeTint="A6"/>
        </w:rPr>
        <w:t>taxe sur la rente</w:t>
      </w:r>
      <w:r w:rsidRPr="00CF3D9A">
        <w:rPr>
          <w:rFonts w:ascii="Arial" w:hAnsi="Arial" w:cs="Arial"/>
          <w:color w:val="595959" w:themeColor="text1" w:themeTint="A6"/>
        </w:rPr>
        <w:t xml:space="preserve"> s’élève à 20%.</w:t>
      </w:r>
    </w:p>
    <w:p w14:paraId="7BA1A1B0" w14:textId="77777777" w:rsidR="00CF3D9A" w:rsidRPr="00CF3D9A" w:rsidRDefault="00CF3D9A" w:rsidP="00200DCD">
      <w:pPr>
        <w:pStyle w:val="Texte"/>
        <w:numPr>
          <w:ilvl w:val="0"/>
          <w:numId w:val="20"/>
        </w:numPr>
        <w:ind w:left="1429"/>
        <w:jc w:val="left"/>
        <w:rPr>
          <w:rFonts w:ascii="Arial" w:hAnsi="Arial" w:cs="Arial"/>
          <w:color w:val="595959" w:themeColor="text1" w:themeTint="A6"/>
        </w:rPr>
      </w:pPr>
      <w:r w:rsidRPr="00CF3D9A">
        <w:rPr>
          <w:rFonts w:ascii="Arial" w:hAnsi="Arial" w:cs="Arial"/>
          <w:color w:val="595959" w:themeColor="text1" w:themeTint="A6"/>
        </w:rPr>
        <w:t>Les flux nets de trésorerie négatifs qui sont reportés sont revalorisés de 2% par an.</w:t>
      </w:r>
    </w:p>
    <w:p w14:paraId="02C4D7F9" w14:textId="77777777" w:rsidR="00CF3D9A" w:rsidRPr="00CF3D9A" w:rsidRDefault="00CF3D9A" w:rsidP="00200DCD">
      <w:pPr>
        <w:pStyle w:val="Texte"/>
        <w:numPr>
          <w:ilvl w:val="0"/>
          <w:numId w:val="20"/>
        </w:numPr>
        <w:ind w:left="1429"/>
        <w:jc w:val="left"/>
        <w:rPr>
          <w:rFonts w:ascii="Arial" w:hAnsi="Arial" w:cs="Arial"/>
          <w:color w:val="595959" w:themeColor="text1" w:themeTint="A6"/>
        </w:rPr>
      </w:pPr>
      <w:r w:rsidRPr="00CF3D9A">
        <w:rPr>
          <w:rFonts w:ascii="Arial" w:hAnsi="Arial" w:cs="Arial"/>
          <w:color w:val="595959" w:themeColor="text1" w:themeTint="A6"/>
        </w:rPr>
        <w:t>La taxe n’est due qu’à partir d’un seuil de déclenchement, fixé à un taux de rendement interne de 15%.</w:t>
      </w:r>
    </w:p>
    <w:p w14:paraId="549E28D3" w14:textId="77777777" w:rsidR="00CF3D9A" w:rsidRPr="00CF3D9A" w:rsidRDefault="00CF3D9A" w:rsidP="00200DCD">
      <w:pPr>
        <w:pStyle w:val="Texte"/>
        <w:numPr>
          <w:ilvl w:val="0"/>
          <w:numId w:val="20"/>
        </w:numPr>
        <w:ind w:left="1429"/>
        <w:jc w:val="left"/>
        <w:rPr>
          <w:rFonts w:ascii="Arial" w:hAnsi="Arial" w:cs="Arial"/>
          <w:color w:val="595959" w:themeColor="text1" w:themeTint="A6"/>
        </w:rPr>
      </w:pPr>
      <w:r w:rsidRPr="00CF3D9A">
        <w:rPr>
          <w:rFonts w:ascii="Arial" w:hAnsi="Arial" w:cs="Arial"/>
          <w:color w:val="595959" w:themeColor="text1" w:themeTint="A6"/>
        </w:rPr>
        <w:t>Elle est déductible de l’assiette de l’impôt sur les sociétés.</w:t>
      </w:r>
    </w:p>
    <w:p w14:paraId="5290F76D" w14:textId="77777777" w:rsidR="00CF3D9A" w:rsidRPr="00CF3D9A" w:rsidRDefault="00CF3D9A" w:rsidP="00200DCD">
      <w:pPr>
        <w:ind w:left="709"/>
        <w:rPr>
          <w:rFonts w:ascii="Arial" w:hAnsi="Arial" w:cs="Arial"/>
          <w:color w:val="595959" w:themeColor="text1" w:themeTint="A6"/>
        </w:rPr>
      </w:pPr>
    </w:p>
    <w:p w14:paraId="1E70FA19" w14:textId="77777777" w:rsidR="00CF3D9A" w:rsidRPr="00CF3D9A" w:rsidRDefault="00CF3D9A" w:rsidP="00200DCD">
      <w:pPr>
        <w:pStyle w:val="Titre3"/>
        <w:ind w:left="709"/>
        <w:rPr>
          <w:rFonts w:ascii="Arial" w:hAnsi="Arial" w:cs="Arial"/>
          <w:color w:val="595959" w:themeColor="text1" w:themeTint="A6"/>
        </w:rPr>
      </w:pPr>
      <w:r w:rsidRPr="00CF3D9A">
        <w:rPr>
          <w:rFonts w:ascii="Arial" w:hAnsi="Arial" w:cs="Arial"/>
          <w:color w:val="595959" w:themeColor="text1" w:themeTint="A6"/>
        </w:rPr>
        <w:t>c) L’impôt sur les sociétés et impôt minimum forfaitaire</w:t>
      </w:r>
    </w:p>
    <w:p w14:paraId="6F376154" w14:textId="77777777" w:rsidR="00CF3D9A" w:rsidRPr="00CF3D9A" w:rsidRDefault="00CF3D9A" w:rsidP="00200DCD">
      <w:pPr>
        <w:pStyle w:val="Texte"/>
        <w:numPr>
          <w:ilvl w:val="0"/>
          <w:numId w:val="21"/>
        </w:numPr>
        <w:ind w:left="1429"/>
        <w:jc w:val="left"/>
        <w:rPr>
          <w:rFonts w:ascii="Arial" w:hAnsi="Arial" w:cs="Arial"/>
          <w:color w:val="595959" w:themeColor="text1" w:themeTint="A6"/>
        </w:rPr>
      </w:pPr>
      <w:r w:rsidRPr="00CF3D9A">
        <w:rPr>
          <w:rFonts w:ascii="Arial" w:hAnsi="Arial" w:cs="Arial"/>
          <w:color w:val="595959" w:themeColor="text1" w:themeTint="A6"/>
        </w:rPr>
        <w:t>Le taux de l’</w:t>
      </w:r>
      <w:r w:rsidRPr="00CF3D9A">
        <w:rPr>
          <w:rFonts w:ascii="Arial" w:hAnsi="Arial" w:cs="Arial"/>
          <w:b/>
          <w:color w:val="595959" w:themeColor="text1" w:themeTint="A6"/>
        </w:rPr>
        <w:t>impôt sur les sociétés (IS)</w:t>
      </w:r>
      <w:r w:rsidRPr="00CF3D9A">
        <w:rPr>
          <w:rFonts w:ascii="Arial" w:hAnsi="Arial" w:cs="Arial"/>
          <w:color w:val="595959" w:themeColor="text1" w:themeTint="A6"/>
        </w:rPr>
        <w:t xml:space="preserve"> s’élève à 30% du bénéfice.</w:t>
      </w:r>
    </w:p>
    <w:p w14:paraId="3A9DC1F6" w14:textId="77777777" w:rsidR="00CF3D9A" w:rsidRPr="00CF3D9A" w:rsidRDefault="00CF3D9A" w:rsidP="00200DCD">
      <w:pPr>
        <w:pStyle w:val="Texte"/>
        <w:numPr>
          <w:ilvl w:val="1"/>
          <w:numId w:val="21"/>
        </w:numPr>
        <w:ind w:left="2149"/>
        <w:jc w:val="left"/>
        <w:rPr>
          <w:rFonts w:ascii="Arial" w:hAnsi="Arial" w:cs="Arial"/>
          <w:color w:val="595959" w:themeColor="text1" w:themeTint="A6"/>
        </w:rPr>
      </w:pPr>
      <w:r w:rsidRPr="00CF3D9A">
        <w:rPr>
          <w:rFonts w:ascii="Arial" w:hAnsi="Arial" w:cs="Arial"/>
          <w:color w:val="595959" w:themeColor="text1" w:themeTint="A6"/>
        </w:rPr>
        <w:t>L’</w:t>
      </w:r>
      <w:r w:rsidRPr="00CF3D9A">
        <w:rPr>
          <w:rFonts w:ascii="Arial" w:hAnsi="Arial" w:cs="Arial"/>
          <w:b/>
          <w:color w:val="595959" w:themeColor="text1" w:themeTint="A6"/>
        </w:rPr>
        <w:t>amortissement</w:t>
      </w:r>
      <w:r w:rsidRPr="00CF3D9A">
        <w:rPr>
          <w:rFonts w:ascii="Arial" w:hAnsi="Arial" w:cs="Arial"/>
          <w:color w:val="595959" w:themeColor="text1" w:themeTint="A6"/>
        </w:rPr>
        <w:t xml:space="preserve"> des constructions industrielles s’effectue selon la méthode linéaire sur 10 ans. L’amortissement des biens d’équipement s’effectue selon la méthode dégressive sur 5 ans </w:t>
      </w:r>
      <w:r w:rsidRPr="00CF3D9A">
        <w:rPr>
          <w:rFonts w:ascii="Arial" w:hAnsi="Arial" w:cs="Arial"/>
          <w:color w:val="595959" w:themeColor="text1" w:themeTint="A6"/>
        </w:rPr>
        <w:lastRenderedPageBreak/>
        <w:t>avec un coefficient de 2. Toutes les immobilisations sont amorties avant la fermeture de la mine.</w:t>
      </w:r>
    </w:p>
    <w:p w14:paraId="5126CA51" w14:textId="77777777" w:rsidR="00CF3D9A" w:rsidRPr="00CF3D9A" w:rsidRDefault="00CF3D9A" w:rsidP="00200DCD">
      <w:pPr>
        <w:pStyle w:val="Texte"/>
        <w:numPr>
          <w:ilvl w:val="1"/>
          <w:numId w:val="21"/>
        </w:numPr>
        <w:ind w:left="2149"/>
        <w:jc w:val="left"/>
        <w:rPr>
          <w:rFonts w:ascii="Arial" w:hAnsi="Arial" w:cs="Arial"/>
          <w:color w:val="595959" w:themeColor="text1" w:themeTint="A6"/>
        </w:rPr>
      </w:pPr>
      <w:r w:rsidRPr="00CF3D9A">
        <w:rPr>
          <w:rFonts w:ascii="Arial" w:hAnsi="Arial" w:cs="Arial"/>
          <w:color w:val="595959" w:themeColor="text1" w:themeTint="A6"/>
        </w:rPr>
        <w:t xml:space="preserve">Le </w:t>
      </w:r>
      <w:r w:rsidRPr="00CF3D9A">
        <w:rPr>
          <w:rFonts w:ascii="Arial" w:hAnsi="Arial" w:cs="Arial"/>
          <w:b/>
          <w:color w:val="595959" w:themeColor="text1" w:themeTint="A6"/>
        </w:rPr>
        <w:t>report des pertes</w:t>
      </w:r>
      <w:r w:rsidRPr="00CF3D9A">
        <w:rPr>
          <w:rFonts w:ascii="Arial" w:hAnsi="Arial" w:cs="Arial"/>
          <w:color w:val="595959" w:themeColor="text1" w:themeTint="A6"/>
        </w:rPr>
        <w:t xml:space="preserve"> est autorisé sans limitation de durée, ni de montant.</w:t>
      </w:r>
    </w:p>
    <w:p w14:paraId="582C57FF" w14:textId="77777777" w:rsidR="00CF3D9A" w:rsidRPr="00CF3D9A" w:rsidRDefault="00CF3D9A" w:rsidP="00200DCD">
      <w:pPr>
        <w:pStyle w:val="Texte"/>
        <w:numPr>
          <w:ilvl w:val="1"/>
          <w:numId w:val="21"/>
        </w:numPr>
        <w:ind w:left="2149"/>
        <w:jc w:val="left"/>
        <w:rPr>
          <w:rFonts w:ascii="Arial" w:hAnsi="Arial" w:cs="Arial"/>
          <w:color w:val="595959" w:themeColor="text1" w:themeTint="A6"/>
        </w:rPr>
      </w:pPr>
      <w:r w:rsidRPr="00CF3D9A">
        <w:rPr>
          <w:rFonts w:ascii="Arial" w:hAnsi="Arial" w:cs="Arial"/>
          <w:color w:val="595959" w:themeColor="text1" w:themeTint="A6"/>
        </w:rPr>
        <w:t xml:space="preserve">Les </w:t>
      </w:r>
      <w:r w:rsidRPr="00CF3D9A">
        <w:rPr>
          <w:rFonts w:ascii="Arial" w:hAnsi="Arial" w:cs="Arial"/>
          <w:b/>
          <w:color w:val="595959" w:themeColor="text1" w:themeTint="A6"/>
        </w:rPr>
        <w:t>intérêts</w:t>
      </w:r>
      <w:r w:rsidRPr="00CF3D9A">
        <w:rPr>
          <w:rFonts w:ascii="Arial" w:hAnsi="Arial" w:cs="Arial"/>
          <w:color w:val="595959" w:themeColor="text1" w:themeTint="A6"/>
        </w:rPr>
        <w:t xml:space="preserve"> sont déductibles dans la limite du taux d’intérêt de 5%.</w:t>
      </w:r>
    </w:p>
    <w:p w14:paraId="3838B1EC" w14:textId="77777777" w:rsidR="00CF3D9A" w:rsidRPr="00CF3D9A" w:rsidRDefault="00CF3D9A" w:rsidP="009C5C0A">
      <w:pPr>
        <w:pStyle w:val="Texte"/>
        <w:numPr>
          <w:ilvl w:val="0"/>
          <w:numId w:val="21"/>
        </w:numPr>
        <w:ind w:left="2149"/>
        <w:jc w:val="left"/>
        <w:rPr>
          <w:rFonts w:ascii="Arial" w:hAnsi="Arial" w:cs="Arial"/>
          <w:color w:val="595959" w:themeColor="text1" w:themeTint="A6"/>
        </w:rPr>
      </w:pPr>
      <w:r w:rsidRPr="00CF3D9A">
        <w:rPr>
          <w:rFonts w:ascii="Arial" w:hAnsi="Arial" w:cs="Arial"/>
          <w:color w:val="595959" w:themeColor="text1" w:themeTint="A6"/>
        </w:rPr>
        <w:t>Le taux de l’</w:t>
      </w:r>
      <w:r w:rsidRPr="00CF3D9A">
        <w:rPr>
          <w:rFonts w:ascii="Arial" w:hAnsi="Arial" w:cs="Arial"/>
          <w:b/>
          <w:color w:val="595959" w:themeColor="text1" w:themeTint="A6"/>
        </w:rPr>
        <w:t>impôt minimum forfaitaire (IMF)</w:t>
      </w:r>
      <w:r w:rsidRPr="00CF3D9A">
        <w:rPr>
          <w:rFonts w:ascii="Arial" w:hAnsi="Arial" w:cs="Arial"/>
          <w:color w:val="595959" w:themeColor="text1" w:themeTint="A6"/>
        </w:rPr>
        <w:t xml:space="preserve"> s’élève à 1% du chiffre d’affaires. Son montant minimum est de 2 000 $.</w:t>
      </w:r>
    </w:p>
    <w:p w14:paraId="720E6DDE" w14:textId="77777777" w:rsidR="00CF3D9A" w:rsidRPr="00CF3D9A" w:rsidRDefault="00CF3D9A" w:rsidP="009C5C0A">
      <w:pPr>
        <w:pStyle w:val="Titre3"/>
        <w:ind w:left="1429"/>
        <w:rPr>
          <w:rFonts w:ascii="Arial" w:hAnsi="Arial" w:cs="Arial"/>
          <w:color w:val="595959" w:themeColor="text1" w:themeTint="A6"/>
        </w:rPr>
      </w:pPr>
      <w:r w:rsidRPr="00CF3D9A">
        <w:rPr>
          <w:rFonts w:ascii="Arial" w:hAnsi="Arial" w:cs="Arial"/>
          <w:color w:val="595959" w:themeColor="text1" w:themeTint="A6"/>
        </w:rPr>
        <w:t>d) Les prélèvements sur les dividendes</w:t>
      </w:r>
    </w:p>
    <w:p w14:paraId="2E99D443" w14:textId="42F3BE39" w:rsidR="00CF3D9A" w:rsidRPr="00CF3D9A" w:rsidRDefault="00CF3D9A" w:rsidP="009C5C0A">
      <w:pPr>
        <w:pStyle w:val="Texte"/>
        <w:numPr>
          <w:ilvl w:val="0"/>
          <w:numId w:val="22"/>
        </w:numPr>
        <w:ind w:left="2149"/>
        <w:jc w:val="left"/>
        <w:rPr>
          <w:rFonts w:ascii="Arial" w:hAnsi="Arial" w:cs="Arial"/>
          <w:color w:val="595959" w:themeColor="text1" w:themeTint="A6"/>
        </w:rPr>
      </w:pPr>
      <w:r w:rsidRPr="00CF3D9A">
        <w:rPr>
          <w:rFonts w:ascii="Arial" w:hAnsi="Arial" w:cs="Arial"/>
          <w:color w:val="595959" w:themeColor="text1" w:themeTint="A6"/>
        </w:rPr>
        <w:t xml:space="preserve">Le taux de la </w:t>
      </w:r>
      <w:r w:rsidRPr="00CF3D9A">
        <w:rPr>
          <w:rFonts w:ascii="Arial" w:hAnsi="Arial" w:cs="Arial"/>
          <w:b/>
          <w:color w:val="595959" w:themeColor="text1" w:themeTint="A6"/>
        </w:rPr>
        <w:t>participation de l’</w:t>
      </w:r>
      <w:r w:rsidR="00200DCD">
        <w:rPr>
          <w:rFonts w:ascii="Arial" w:hAnsi="Arial" w:cs="Arial"/>
          <w:b/>
          <w:color w:val="595959" w:themeColor="text1" w:themeTint="A6"/>
        </w:rPr>
        <w:t>É</w:t>
      </w:r>
      <w:r w:rsidRPr="00CF3D9A">
        <w:rPr>
          <w:rFonts w:ascii="Arial" w:hAnsi="Arial" w:cs="Arial"/>
          <w:b/>
          <w:color w:val="595959" w:themeColor="text1" w:themeTint="A6"/>
        </w:rPr>
        <w:t>tat</w:t>
      </w:r>
      <w:r w:rsidRPr="00CF3D9A">
        <w:rPr>
          <w:rFonts w:ascii="Arial" w:hAnsi="Arial" w:cs="Arial"/>
          <w:color w:val="595959" w:themeColor="text1" w:themeTint="A6"/>
        </w:rPr>
        <w:t xml:space="preserve"> s’élève à 10%. Elle prend la forme d’actions à dividendes prioritaires.</w:t>
      </w:r>
    </w:p>
    <w:p w14:paraId="5E70D67F" w14:textId="555C282C" w:rsidR="00CF3D9A" w:rsidRPr="00CF3D9A" w:rsidRDefault="00CF3D9A" w:rsidP="009C5C0A">
      <w:pPr>
        <w:pStyle w:val="Texte"/>
        <w:numPr>
          <w:ilvl w:val="0"/>
          <w:numId w:val="22"/>
        </w:numPr>
        <w:ind w:left="2149"/>
        <w:jc w:val="left"/>
        <w:rPr>
          <w:rFonts w:ascii="Arial" w:hAnsi="Arial" w:cs="Arial"/>
          <w:color w:val="595959" w:themeColor="text1" w:themeTint="A6"/>
        </w:rPr>
      </w:pPr>
      <w:r w:rsidRPr="00CF3D9A">
        <w:rPr>
          <w:rFonts w:ascii="Arial" w:hAnsi="Arial" w:cs="Arial"/>
          <w:color w:val="595959" w:themeColor="text1" w:themeTint="A6"/>
        </w:rPr>
        <w:t>Le taux de l’</w:t>
      </w:r>
      <w:r w:rsidRPr="00CF3D9A">
        <w:rPr>
          <w:rFonts w:ascii="Arial" w:hAnsi="Arial" w:cs="Arial"/>
          <w:b/>
          <w:color w:val="595959" w:themeColor="text1" w:themeTint="A6"/>
        </w:rPr>
        <w:t>impôt sur le revenu des valeurs mobilières (IRVM)</w:t>
      </w:r>
      <w:r w:rsidRPr="00CF3D9A">
        <w:rPr>
          <w:rFonts w:ascii="Arial" w:hAnsi="Arial" w:cs="Arial"/>
          <w:color w:val="595959" w:themeColor="text1" w:themeTint="A6"/>
        </w:rPr>
        <w:t xml:space="preserve"> s’élève à 10%. La société minière distribue annuellement 20% de ses bénéfices après impôts à ses actionnaires privés (hors participation de l’</w:t>
      </w:r>
      <w:r w:rsidR="00200DCD">
        <w:rPr>
          <w:rFonts w:ascii="Arial" w:hAnsi="Arial" w:cs="Arial"/>
          <w:color w:val="595959" w:themeColor="text1" w:themeTint="A6"/>
        </w:rPr>
        <w:t>É</w:t>
      </w:r>
      <w:r w:rsidRPr="00CF3D9A">
        <w:rPr>
          <w:rFonts w:ascii="Arial" w:hAnsi="Arial" w:cs="Arial"/>
          <w:color w:val="595959" w:themeColor="text1" w:themeTint="A6"/>
        </w:rPr>
        <w:t>tat).</w:t>
      </w:r>
    </w:p>
    <w:p w14:paraId="29E19CE8" w14:textId="77777777" w:rsidR="00CF3D9A" w:rsidRPr="00CF3D9A" w:rsidRDefault="00CF3D9A" w:rsidP="00200DCD">
      <w:pPr>
        <w:rPr>
          <w:rFonts w:ascii="Arial" w:hAnsi="Arial" w:cs="Arial"/>
          <w:color w:val="595959" w:themeColor="text1" w:themeTint="A6"/>
        </w:rPr>
      </w:pPr>
    </w:p>
    <w:p w14:paraId="4F4D30CB" w14:textId="77777777" w:rsidR="00CF3D9A" w:rsidRPr="00CF3D9A" w:rsidRDefault="00CF3D9A" w:rsidP="009C5C0A">
      <w:pPr>
        <w:pStyle w:val="Titre1"/>
        <w:numPr>
          <w:ilvl w:val="0"/>
          <w:numId w:val="0"/>
        </w:numPr>
        <w:ind w:left="360"/>
        <w:rPr>
          <w:rFonts w:ascii="Arial" w:hAnsi="Arial" w:cs="Arial"/>
          <w:color w:val="595959" w:themeColor="text1" w:themeTint="A6"/>
        </w:rPr>
      </w:pPr>
      <w:r w:rsidRPr="00CF3D9A">
        <w:rPr>
          <w:rFonts w:ascii="Arial" w:hAnsi="Arial" w:cs="Arial"/>
          <w:color w:val="595959" w:themeColor="text1" w:themeTint="A6"/>
        </w:rPr>
        <w:t>II) Les résultats</w:t>
      </w:r>
    </w:p>
    <w:p w14:paraId="5F55C4A5" w14:textId="048E84C5" w:rsidR="00CF3D9A" w:rsidRPr="00CF3D9A" w:rsidRDefault="00200DCD" w:rsidP="00200DCD">
      <w:pPr>
        <w:pStyle w:val="Texte"/>
        <w:jc w:val="left"/>
        <w:rPr>
          <w:rFonts w:ascii="Arial" w:hAnsi="Arial" w:cs="Arial"/>
          <w:color w:val="595959" w:themeColor="text1" w:themeTint="A6"/>
        </w:rPr>
      </w:pPr>
      <w:r>
        <w:rPr>
          <w:rFonts w:ascii="Arial" w:hAnsi="Arial" w:cs="Arial"/>
          <w:color w:val="595959" w:themeColor="text1" w:themeTint="A6"/>
        </w:rPr>
        <w:t>À</w:t>
      </w:r>
      <w:r w:rsidR="00CF3D9A" w:rsidRPr="00CF3D9A">
        <w:rPr>
          <w:rFonts w:ascii="Arial" w:hAnsi="Arial" w:cs="Arial"/>
          <w:color w:val="595959" w:themeColor="text1" w:themeTint="A6"/>
        </w:rPr>
        <w:t xml:space="preserve"> partir des données économiques et fiscales précédentes, la simulation du </w:t>
      </w:r>
      <w:r w:rsidR="00CF3D9A" w:rsidRPr="00CF3D9A">
        <w:rPr>
          <w:rFonts w:ascii="Arial" w:hAnsi="Arial" w:cs="Arial"/>
          <w:b/>
          <w:color w:val="595959" w:themeColor="text1" w:themeTint="A6"/>
        </w:rPr>
        <w:t>partage de la rente minière</w:t>
      </w:r>
      <w:r w:rsidR="00CF3D9A" w:rsidRPr="00CF3D9A">
        <w:rPr>
          <w:rFonts w:ascii="Arial" w:hAnsi="Arial" w:cs="Arial"/>
          <w:color w:val="595959" w:themeColor="text1" w:themeTint="A6"/>
        </w:rPr>
        <w:t xml:space="preserve"> donne les résultats suivants.</w:t>
      </w:r>
    </w:p>
    <w:p w14:paraId="7865D32B" w14:textId="77777777" w:rsidR="00CF3D9A" w:rsidRPr="00CF3D9A" w:rsidRDefault="00CF3D9A" w:rsidP="00200DCD">
      <w:pPr>
        <w:rPr>
          <w:rFonts w:ascii="Arial" w:hAnsi="Arial" w:cs="Arial"/>
          <w:color w:val="595959" w:themeColor="text1" w:themeTint="A6"/>
        </w:rPr>
      </w:pPr>
    </w:p>
    <w:p w14:paraId="756301AB" w14:textId="77777777" w:rsidR="00CF3D9A" w:rsidRPr="00CF3D9A" w:rsidRDefault="00CF3D9A" w:rsidP="00200DCD">
      <w:pPr>
        <w:pStyle w:val="Titre2"/>
        <w:rPr>
          <w:rFonts w:ascii="Arial" w:hAnsi="Arial" w:cs="Arial"/>
          <w:color w:val="595959" w:themeColor="text1" w:themeTint="A6"/>
        </w:rPr>
      </w:pPr>
      <w:r w:rsidRPr="00CF3D9A">
        <w:rPr>
          <w:rFonts w:ascii="Arial" w:hAnsi="Arial" w:cs="Arial"/>
          <w:color w:val="595959" w:themeColor="text1" w:themeTint="A6"/>
        </w:rPr>
        <w:t>1) La rente minière</w:t>
      </w:r>
    </w:p>
    <w:p w14:paraId="7243F06F" w14:textId="77777777" w:rsidR="00CF3D9A" w:rsidRPr="00CF3D9A" w:rsidRDefault="00CF3D9A" w:rsidP="00200DCD">
      <w:pPr>
        <w:pStyle w:val="Texte"/>
        <w:numPr>
          <w:ilvl w:val="0"/>
          <w:numId w:val="23"/>
        </w:numPr>
        <w:jc w:val="left"/>
        <w:rPr>
          <w:rFonts w:ascii="Arial" w:hAnsi="Arial" w:cs="Arial"/>
          <w:color w:val="595959" w:themeColor="text1" w:themeTint="A6"/>
        </w:rPr>
      </w:pPr>
      <w:r w:rsidRPr="00CF3D9A">
        <w:rPr>
          <w:rFonts w:ascii="Arial" w:hAnsi="Arial" w:cs="Arial"/>
          <w:color w:val="595959" w:themeColor="text1" w:themeTint="A6"/>
        </w:rPr>
        <w:t xml:space="preserve">En valeur actuelle nette, la </w:t>
      </w:r>
      <w:r w:rsidRPr="00CF3D9A">
        <w:rPr>
          <w:rFonts w:ascii="Arial" w:hAnsi="Arial" w:cs="Arial"/>
          <w:b/>
          <w:color w:val="595959" w:themeColor="text1" w:themeTint="A6"/>
        </w:rPr>
        <w:t>rente minière</w:t>
      </w:r>
      <w:r w:rsidRPr="00CF3D9A">
        <w:rPr>
          <w:rFonts w:ascii="Arial" w:hAnsi="Arial" w:cs="Arial"/>
          <w:color w:val="595959" w:themeColor="text1" w:themeTint="A6"/>
        </w:rPr>
        <w:t xml:space="preserve"> du projet s’élève à 513 millions $.</w:t>
      </w:r>
    </w:p>
    <w:p w14:paraId="336BC125" w14:textId="77777777" w:rsidR="00CF3D9A" w:rsidRPr="00CF3D9A" w:rsidRDefault="00CF3D9A" w:rsidP="00200DCD">
      <w:pPr>
        <w:pStyle w:val="Texte"/>
        <w:numPr>
          <w:ilvl w:val="0"/>
          <w:numId w:val="23"/>
        </w:numPr>
        <w:jc w:val="left"/>
        <w:rPr>
          <w:rFonts w:ascii="Arial" w:hAnsi="Arial" w:cs="Arial"/>
          <w:color w:val="595959" w:themeColor="text1" w:themeTint="A6"/>
        </w:rPr>
      </w:pPr>
      <w:r w:rsidRPr="00CF3D9A">
        <w:rPr>
          <w:rFonts w:ascii="Arial" w:hAnsi="Arial" w:cs="Arial"/>
          <w:color w:val="595959" w:themeColor="text1" w:themeTint="A6"/>
        </w:rPr>
        <w:t xml:space="preserve">Le </w:t>
      </w:r>
      <w:r w:rsidRPr="00CF3D9A">
        <w:rPr>
          <w:rFonts w:ascii="Arial" w:hAnsi="Arial" w:cs="Arial"/>
          <w:b/>
          <w:color w:val="595959" w:themeColor="text1" w:themeTint="A6"/>
        </w:rPr>
        <w:t>taux de rendement interne avant impôts</w:t>
      </w:r>
      <w:r w:rsidRPr="00CF3D9A">
        <w:rPr>
          <w:rFonts w:ascii="Arial" w:hAnsi="Arial" w:cs="Arial"/>
          <w:color w:val="595959" w:themeColor="text1" w:themeTint="A6"/>
        </w:rPr>
        <w:t xml:space="preserve"> est de 61,4%.</w:t>
      </w:r>
    </w:p>
    <w:p w14:paraId="47DD74CB" w14:textId="77777777" w:rsidR="00CF3D9A" w:rsidRPr="00CF3D9A" w:rsidRDefault="00CF3D9A" w:rsidP="00CF3D9A">
      <w:pPr>
        <w:rPr>
          <w:rFonts w:ascii="Arial" w:hAnsi="Arial" w:cs="Arial"/>
          <w:color w:val="595959" w:themeColor="text1" w:themeTint="A6"/>
        </w:rPr>
      </w:pPr>
    </w:p>
    <w:p w14:paraId="24628330" w14:textId="77777777" w:rsidR="00200DCD" w:rsidRDefault="00CF3D9A" w:rsidP="00200DCD">
      <w:pPr>
        <w:pStyle w:val="Lgende"/>
        <w:keepNext/>
        <w:rPr>
          <w:rFonts w:ascii="Arial" w:hAnsi="Arial" w:cs="Arial"/>
          <w:color w:val="595959" w:themeColor="text1" w:themeTint="A6"/>
          <w:sz w:val="22"/>
          <w:szCs w:val="22"/>
        </w:rPr>
      </w:pPr>
      <w:r w:rsidRPr="00CF3D9A">
        <w:rPr>
          <w:rFonts w:ascii="Arial" w:hAnsi="Arial" w:cs="Arial"/>
          <w:color w:val="595959" w:themeColor="text1" w:themeTint="A6"/>
          <w:sz w:val="22"/>
          <w:szCs w:val="22"/>
        </w:rPr>
        <w:t xml:space="preserve">Tableau </w:t>
      </w:r>
      <w:r w:rsidRPr="00CF3D9A">
        <w:rPr>
          <w:rFonts w:ascii="Arial" w:hAnsi="Arial" w:cs="Arial"/>
          <w:color w:val="595959" w:themeColor="text1" w:themeTint="A6"/>
          <w:sz w:val="22"/>
          <w:szCs w:val="22"/>
        </w:rPr>
        <w:fldChar w:fldCharType="begin"/>
      </w:r>
      <w:r w:rsidRPr="00CF3D9A">
        <w:rPr>
          <w:rFonts w:ascii="Arial" w:hAnsi="Arial" w:cs="Arial"/>
          <w:color w:val="595959" w:themeColor="text1" w:themeTint="A6"/>
          <w:sz w:val="22"/>
          <w:szCs w:val="22"/>
        </w:rPr>
        <w:instrText xml:space="preserve"> SEQ Tableau \* ARABIC </w:instrText>
      </w:r>
      <w:r w:rsidRPr="00CF3D9A">
        <w:rPr>
          <w:rFonts w:ascii="Arial" w:hAnsi="Arial" w:cs="Arial"/>
          <w:color w:val="595959" w:themeColor="text1" w:themeTint="A6"/>
          <w:sz w:val="22"/>
          <w:szCs w:val="22"/>
        </w:rPr>
        <w:fldChar w:fldCharType="separate"/>
      </w:r>
      <w:r w:rsidRPr="00CF3D9A">
        <w:rPr>
          <w:rFonts w:ascii="Arial" w:hAnsi="Arial" w:cs="Arial"/>
          <w:noProof/>
          <w:color w:val="595959" w:themeColor="text1" w:themeTint="A6"/>
          <w:sz w:val="22"/>
          <w:szCs w:val="22"/>
        </w:rPr>
        <w:t>1</w:t>
      </w:r>
      <w:r w:rsidRPr="00CF3D9A">
        <w:rPr>
          <w:rFonts w:ascii="Arial" w:hAnsi="Arial" w:cs="Arial"/>
          <w:noProof/>
          <w:color w:val="595959" w:themeColor="text1" w:themeTint="A6"/>
          <w:sz w:val="22"/>
          <w:szCs w:val="22"/>
        </w:rPr>
        <w:fldChar w:fldCharType="end"/>
      </w:r>
      <w:r w:rsidRPr="00CF3D9A">
        <w:rPr>
          <w:rFonts w:ascii="Arial" w:hAnsi="Arial" w:cs="Arial"/>
          <w:color w:val="595959" w:themeColor="text1" w:themeTint="A6"/>
          <w:sz w:val="22"/>
          <w:szCs w:val="22"/>
        </w:rPr>
        <w:t> : Du chiffre d’affaires à la rente minière</w:t>
      </w:r>
    </w:p>
    <w:p w14:paraId="3DF56E9E" w14:textId="77777777" w:rsidR="00200DCD" w:rsidRDefault="00200DCD" w:rsidP="00200DCD">
      <w:pPr>
        <w:pStyle w:val="Lgende"/>
        <w:keepNext/>
        <w:rPr>
          <w:rFonts w:ascii="Arial" w:hAnsi="Arial" w:cs="Arial"/>
          <w:color w:val="595959" w:themeColor="text1" w:themeTint="A6"/>
          <w:sz w:val="22"/>
          <w:szCs w:val="22"/>
        </w:rPr>
      </w:pPr>
    </w:p>
    <w:p w14:paraId="75FCE3B7" w14:textId="60D1E001" w:rsidR="00CF3D9A" w:rsidRDefault="00200DCD" w:rsidP="00200DCD">
      <w:pPr>
        <w:pStyle w:val="Lgende"/>
        <w:keepNext/>
        <w:rPr>
          <w:rFonts w:ascii="Arial" w:hAnsi="Arial" w:cs="Arial"/>
          <w:color w:val="595959" w:themeColor="text1" w:themeTint="A6"/>
          <w:sz w:val="22"/>
          <w:szCs w:val="22"/>
        </w:rPr>
      </w:pPr>
      <w:r>
        <w:rPr>
          <w:noProof/>
        </w:rPr>
        <w:drawing>
          <wp:inline distT="0" distB="0" distL="0" distR="0" wp14:anchorId="28E50515" wp14:editId="36FD4EE1">
            <wp:extent cx="5760720" cy="2092960"/>
            <wp:effectExtent l="0" t="0" r="0" b="254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AD-FISCALITE_tableau5.jpg"/>
                    <pic:cNvPicPr/>
                  </pic:nvPicPr>
                  <pic:blipFill>
                    <a:blip r:embed="rId9">
                      <a:extLst>
                        <a:ext uri="{28A0092B-C50C-407E-A947-70E740481C1C}">
                          <a14:useLocalDpi xmlns:a14="http://schemas.microsoft.com/office/drawing/2010/main" val="0"/>
                        </a:ext>
                      </a:extLst>
                    </a:blip>
                    <a:stretch>
                      <a:fillRect/>
                    </a:stretch>
                  </pic:blipFill>
                  <pic:spPr>
                    <a:xfrm>
                      <a:off x="0" y="0"/>
                      <a:ext cx="5760720" cy="2092960"/>
                    </a:xfrm>
                    <a:prstGeom prst="rect">
                      <a:avLst/>
                    </a:prstGeom>
                  </pic:spPr>
                </pic:pic>
              </a:graphicData>
            </a:graphic>
          </wp:inline>
        </w:drawing>
      </w:r>
    </w:p>
    <w:p w14:paraId="6E8B6405" w14:textId="77777777" w:rsidR="00200DCD" w:rsidRPr="00200DCD" w:rsidRDefault="00200DCD" w:rsidP="00200DCD">
      <w:pPr>
        <w:rPr>
          <w:lang w:eastAsia="fr-FR"/>
        </w:rPr>
      </w:pPr>
    </w:p>
    <w:p w14:paraId="01B8CEA2" w14:textId="77777777" w:rsidR="00CF3D9A" w:rsidRPr="00CF3D9A" w:rsidRDefault="00CF3D9A" w:rsidP="00CF3D9A">
      <w:pPr>
        <w:pStyle w:val="Titre2"/>
        <w:rPr>
          <w:rFonts w:ascii="Arial" w:hAnsi="Arial" w:cs="Arial"/>
          <w:color w:val="595959" w:themeColor="text1" w:themeTint="A6"/>
        </w:rPr>
      </w:pPr>
      <w:r w:rsidRPr="00CF3D9A">
        <w:rPr>
          <w:rFonts w:ascii="Arial" w:hAnsi="Arial" w:cs="Arial"/>
          <w:color w:val="595959" w:themeColor="text1" w:themeTint="A6"/>
        </w:rPr>
        <w:t>2) Les recettes fiscales</w:t>
      </w:r>
    </w:p>
    <w:p w14:paraId="29DBC6BD" w14:textId="77777777" w:rsidR="00CF3D9A" w:rsidRPr="00CF3D9A" w:rsidRDefault="00CF3D9A" w:rsidP="00CF3D9A">
      <w:pPr>
        <w:pStyle w:val="Texte"/>
        <w:numPr>
          <w:ilvl w:val="0"/>
          <w:numId w:val="24"/>
        </w:numPr>
        <w:rPr>
          <w:rFonts w:ascii="Arial" w:hAnsi="Arial" w:cs="Arial"/>
          <w:color w:val="595959" w:themeColor="text1" w:themeTint="A6"/>
        </w:rPr>
      </w:pPr>
      <w:r w:rsidRPr="00CF3D9A">
        <w:rPr>
          <w:rFonts w:ascii="Arial" w:hAnsi="Arial" w:cs="Arial"/>
          <w:color w:val="595959" w:themeColor="text1" w:themeTint="A6"/>
        </w:rPr>
        <w:t xml:space="preserve">En valeur actuelle nette, les </w:t>
      </w:r>
      <w:r w:rsidRPr="00CF3D9A">
        <w:rPr>
          <w:rFonts w:ascii="Arial" w:hAnsi="Arial" w:cs="Arial"/>
          <w:b/>
          <w:color w:val="595959" w:themeColor="text1" w:themeTint="A6"/>
        </w:rPr>
        <w:t>recettes fiscales</w:t>
      </w:r>
      <w:r w:rsidRPr="00CF3D9A">
        <w:rPr>
          <w:rFonts w:ascii="Arial" w:hAnsi="Arial" w:cs="Arial"/>
          <w:color w:val="595959" w:themeColor="text1" w:themeTint="A6"/>
        </w:rPr>
        <w:t xml:space="preserve"> totales s’élèvent à 319 millions $.</w:t>
      </w:r>
    </w:p>
    <w:p w14:paraId="6F6408BE" w14:textId="77777777" w:rsidR="00CF3D9A" w:rsidRPr="00CF3D9A" w:rsidRDefault="00CF3D9A" w:rsidP="00CF3D9A">
      <w:pPr>
        <w:pStyle w:val="Texte"/>
        <w:numPr>
          <w:ilvl w:val="0"/>
          <w:numId w:val="24"/>
        </w:numPr>
        <w:rPr>
          <w:rFonts w:ascii="Arial" w:hAnsi="Arial" w:cs="Arial"/>
          <w:color w:val="595959" w:themeColor="text1" w:themeTint="A6"/>
        </w:rPr>
      </w:pPr>
      <w:r w:rsidRPr="00CF3D9A">
        <w:rPr>
          <w:rFonts w:ascii="Arial" w:hAnsi="Arial" w:cs="Arial"/>
          <w:color w:val="595959" w:themeColor="text1" w:themeTint="A6"/>
        </w:rPr>
        <w:t>L’essentiel des recettes fiscales provient de l’</w:t>
      </w:r>
      <w:r w:rsidRPr="00CF3D9A">
        <w:rPr>
          <w:rFonts w:ascii="Arial" w:hAnsi="Arial" w:cs="Arial"/>
          <w:b/>
          <w:color w:val="595959" w:themeColor="text1" w:themeTint="A6"/>
        </w:rPr>
        <w:t>impôt sur les sociétés</w:t>
      </w:r>
      <w:r w:rsidRPr="00CF3D9A">
        <w:rPr>
          <w:rFonts w:ascii="Arial" w:hAnsi="Arial" w:cs="Arial"/>
          <w:color w:val="595959" w:themeColor="text1" w:themeTint="A6"/>
        </w:rPr>
        <w:t xml:space="preserve"> (36%), de la </w:t>
      </w:r>
      <w:r w:rsidRPr="00CF3D9A">
        <w:rPr>
          <w:rFonts w:ascii="Arial" w:hAnsi="Arial" w:cs="Arial"/>
          <w:b/>
          <w:color w:val="595959" w:themeColor="text1" w:themeTint="A6"/>
        </w:rPr>
        <w:t>taxe sur la rente</w:t>
      </w:r>
      <w:r w:rsidRPr="00CF3D9A">
        <w:rPr>
          <w:rFonts w:ascii="Arial" w:hAnsi="Arial" w:cs="Arial"/>
          <w:color w:val="595959" w:themeColor="text1" w:themeTint="A6"/>
        </w:rPr>
        <w:t xml:space="preserve"> (34%) et de la </w:t>
      </w:r>
      <w:r w:rsidRPr="00CF3D9A">
        <w:rPr>
          <w:rFonts w:ascii="Arial" w:hAnsi="Arial" w:cs="Arial"/>
          <w:b/>
          <w:color w:val="595959" w:themeColor="text1" w:themeTint="A6"/>
        </w:rPr>
        <w:t>redevance minière</w:t>
      </w:r>
      <w:r w:rsidRPr="00CF3D9A">
        <w:rPr>
          <w:rFonts w:ascii="Arial" w:hAnsi="Arial" w:cs="Arial"/>
          <w:color w:val="595959" w:themeColor="text1" w:themeTint="A6"/>
        </w:rPr>
        <w:t xml:space="preserve"> (20%).</w:t>
      </w:r>
    </w:p>
    <w:p w14:paraId="6BB047D3" w14:textId="77777777" w:rsidR="00CF3D9A" w:rsidRPr="00CF3D9A" w:rsidRDefault="00CF3D9A" w:rsidP="00CF3D9A">
      <w:pPr>
        <w:pStyle w:val="Texte"/>
        <w:numPr>
          <w:ilvl w:val="0"/>
          <w:numId w:val="24"/>
        </w:numPr>
        <w:rPr>
          <w:rFonts w:ascii="Arial" w:hAnsi="Arial" w:cs="Arial"/>
          <w:color w:val="595959" w:themeColor="text1" w:themeTint="A6"/>
        </w:rPr>
      </w:pPr>
      <w:r w:rsidRPr="00CF3D9A">
        <w:rPr>
          <w:rFonts w:ascii="Arial" w:hAnsi="Arial" w:cs="Arial"/>
          <w:color w:val="595959" w:themeColor="text1" w:themeTint="A6"/>
        </w:rPr>
        <w:lastRenderedPageBreak/>
        <w:t xml:space="preserve">Le </w:t>
      </w:r>
      <w:r w:rsidRPr="00CF3D9A">
        <w:rPr>
          <w:rFonts w:ascii="Arial" w:hAnsi="Arial" w:cs="Arial"/>
          <w:b/>
          <w:color w:val="595959" w:themeColor="text1" w:themeTint="A6"/>
        </w:rPr>
        <w:t>taux effectif moyen d’imposition</w:t>
      </w:r>
      <w:r w:rsidRPr="00CF3D9A">
        <w:rPr>
          <w:rFonts w:ascii="Arial" w:hAnsi="Arial" w:cs="Arial"/>
          <w:color w:val="595959" w:themeColor="text1" w:themeTint="A6"/>
        </w:rPr>
        <w:t xml:space="preserve"> est de 62,2%, ce qui signifie que l’Etat parvient à capter 62,2% de la rente.</w:t>
      </w:r>
    </w:p>
    <w:p w14:paraId="64C04B95" w14:textId="77777777" w:rsidR="00CF3D9A" w:rsidRPr="00CF3D9A" w:rsidRDefault="00CF3D9A" w:rsidP="00CF3D9A">
      <w:pPr>
        <w:pStyle w:val="Texte"/>
        <w:numPr>
          <w:ilvl w:val="0"/>
          <w:numId w:val="24"/>
        </w:numPr>
        <w:rPr>
          <w:rFonts w:ascii="Arial" w:hAnsi="Arial" w:cs="Arial"/>
          <w:color w:val="595959" w:themeColor="text1" w:themeTint="A6"/>
        </w:rPr>
      </w:pPr>
      <w:r w:rsidRPr="00CF3D9A">
        <w:rPr>
          <w:rFonts w:ascii="Arial" w:hAnsi="Arial" w:cs="Arial"/>
          <w:color w:val="595959" w:themeColor="text1" w:themeTint="A6"/>
        </w:rPr>
        <w:t xml:space="preserve">Le </w:t>
      </w:r>
      <w:r w:rsidRPr="00CF3D9A">
        <w:rPr>
          <w:rFonts w:ascii="Arial" w:hAnsi="Arial" w:cs="Arial"/>
          <w:b/>
          <w:color w:val="595959" w:themeColor="text1" w:themeTint="A6"/>
        </w:rPr>
        <w:t>taux de rendement interne après impôts</w:t>
      </w:r>
      <w:r w:rsidRPr="00CF3D9A">
        <w:rPr>
          <w:rFonts w:ascii="Arial" w:hAnsi="Arial" w:cs="Arial"/>
          <w:color w:val="595959" w:themeColor="text1" w:themeTint="A6"/>
        </w:rPr>
        <w:t xml:space="preserve"> est de 35,5%.</w:t>
      </w:r>
    </w:p>
    <w:p w14:paraId="40207C8E" w14:textId="77777777" w:rsidR="00CF3D9A" w:rsidRPr="00CF3D9A" w:rsidRDefault="00CF3D9A" w:rsidP="00CF3D9A">
      <w:pPr>
        <w:rPr>
          <w:rFonts w:ascii="Arial" w:hAnsi="Arial" w:cs="Arial"/>
          <w:color w:val="595959" w:themeColor="text1" w:themeTint="A6"/>
        </w:rPr>
      </w:pPr>
    </w:p>
    <w:p w14:paraId="0A2EB4C8" w14:textId="77777777" w:rsidR="002F2E26" w:rsidRDefault="00CF3D9A" w:rsidP="002F2E26">
      <w:pPr>
        <w:pStyle w:val="Lgende"/>
        <w:keepNext/>
        <w:rPr>
          <w:rFonts w:ascii="Arial" w:hAnsi="Arial" w:cs="Arial"/>
          <w:color w:val="595959" w:themeColor="text1" w:themeTint="A6"/>
          <w:sz w:val="22"/>
          <w:szCs w:val="22"/>
        </w:rPr>
      </w:pPr>
      <w:r w:rsidRPr="00CF3D9A">
        <w:rPr>
          <w:rFonts w:ascii="Arial" w:hAnsi="Arial" w:cs="Arial"/>
          <w:color w:val="595959" w:themeColor="text1" w:themeTint="A6"/>
          <w:sz w:val="22"/>
          <w:szCs w:val="22"/>
        </w:rPr>
        <w:t xml:space="preserve">Tableau </w:t>
      </w:r>
      <w:r w:rsidRPr="00CF3D9A">
        <w:rPr>
          <w:rFonts w:ascii="Arial" w:hAnsi="Arial" w:cs="Arial"/>
          <w:color w:val="595959" w:themeColor="text1" w:themeTint="A6"/>
          <w:sz w:val="22"/>
          <w:szCs w:val="22"/>
        </w:rPr>
        <w:fldChar w:fldCharType="begin"/>
      </w:r>
      <w:r w:rsidRPr="00CF3D9A">
        <w:rPr>
          <w:rFonts w:ascii="Arial" w:hAnsi="Arial" w:cs="Arial"/>
          <w:color w:val="595959" w:themeColor="text1" w:themeTint="A6"/>
          <w:sz w:val="22"/>
          <w:szCs w:val="22"/>
        </w:rPr>
        <w:instrText xml:space="preserve"> SEQ Tableau \* ARABIC </w:instrText>
      </w:r>
      <w:r w:rsidRPr="00CF3D9A">
        <w:rPr>
          <w:rFonts w:ascii="Arial" w:hAnsi="Arial" w:cs="Arial"/>
          <w:color w:val="595959" w:themeColor="text1" w:themeTint="A6"/>
          <w:sz w:val="22"/>
          <w:szCs w:val="22"/>
        </w:rPr>
        <w:fldChar w:fldCharType="separate"/>
      </w:r>
      <w:r w:rsidRPr="00CF3D9A">
        <w:rPr>
          <w:rFonts w:ascii="Arial" w:hAnsi="Arial" w:cs="Arial"/>
          <w:noProof/>
          <w:color w:val="595959" w:themeColor="text1" w:themeTint="A6"/>
          <w:sz w:val="22"/>
          <w:szCs w:val="22"/>
        </w:rPr>
        <w:t>2</w:t>
      </w:r>
      <w:r w:rsidRPr="00CF3D9A">
        <w:rPr>
          <w:rFonts w:ascii="Arial" w:hAnsi="Arial" w:cs="Arial"/>
          <w:noProof/>
          <w:color w:val="595959" w:themeColor="text1" w:themeTint="A6"/>
          <w:sz w:val="22"/>
          <w:szCs w:val="22"/>
        </w:rPr>
        <w:fldChar w:fldCharType="end"/>
      </w:r>
      <w:r w:rsidRPr="00CF3D9A">
        <w:rPr>
          <w:rFonts w:ascii="Arial" w:hAnsi="Arial" w:cs="Arial"/>
          <w:color w:val="595959" w:themeColor="text1" w:themeTint="A6"/>
          <w:sz w:val="22"/>
          <w:szCs w:val="22"/>
        </w:rPr>
        <w:t> : Des recettes fiscales au taux effectif moyen d’imposition</w:t>
      </w:r>
    </w:p>
    <w:p w14:paraId="2B021B9E" w14:textId="77777777" w:rsidR="002F2E26" w:rsidRDefault="002F2E26" w:rsidP="002F2E26">
      <w:pPr>
        <w:pStyle w:val="Lgende"/>
        <w:keepNext/>
        <w:rPr>
          <w:rFonts w:ascii="Arial" w:hAnsi="Arial" w:cs="Arial"/>
          <w:color w:val="595959" w:themeColor="text1" w:themeTint="A6"/>
          <w:sz w:val="22"/>
          <w:szCs w:val="22"/>
        </w:rPr>
      </w:pPr>
    </w:p>
    <w:p w14:paraId="77A7E9B5" w14:textId="39D4926C" w:rsidR="002F2E26" w:rsidRPr="002F2E26" w:rsidRDefault="002F2E26" w:rsidP="002F2E26">
      <w:pPr>
        <w:pStyle w:val="Lgende"/>
        <w:keepNext/>
        <w:rPr>
          <w:rFonts w:ascii="Arial" w:hAnsi="Arial" w:cs="Arial"/>
          <w:color w:val="595959" w:themeColor="text1" w:themeTint="A6"/>
          <w:sz w:val="22"/>
          <w:szCs w:val="22"/>
        </w:rPr>
      </w:pPr>
      <w:r>
        <w:rPr>
          <w:noProof/>
        </w:rPr>
        <w:drawing>
          <wp:inline distT="0" distB="0" distL="0" distR="0" wp14:anchorId="70941070" wp14:editId="739228D8">
            <wp:extent cx="5760720" cy="3210560"/>
            <wp:effectExtent l="0" t="0" r="0" b="889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EAD-FISCALITE_tableau6.jpg"/>
                    <pic:cNvPicPr/>
                  </pic:nvPicPr>
                  <pic:blipFill>
                    <a:blip r:embed="rId10">
                      <a:extLst>
                        <a:ext uri="{28A0092B-C50C-407E-A947-70E740481C1C}">
                          <a14:useLocalDpi xmlns:a14="http://schemas.microsoft.com/office/drawing/2010/main" val="0"/>
                        </a:ext>
                      </a:extLst>
                    </a:blip>
                    <a:stretch>
                      <a:fillRect/>
                    </a:stretch>
                  </pic:blipFill>
                  <pic:spPr>
                    <a:xfrm>
                      <a:off x="0" y="0"/>
                      <a:ext cx="5760720" cy="3210560"/>
                    </a:xfrm>
                    <a:prstGeom prst="rect">
                      <a:avLst/>
                    </a:prstGeom>
                  </pic:spPr>
                </pic:pic>
              </a:graphicData>
            </a:graphic>
          </wp:inline>
        </w:drawing>
      </w:r>
    </w:p>
    <w:p w14:paraId="3D6C58AE" w14:textId="77777777" w:rsidR="00CF3D9A" w:rsidRPr="00CF3D9A" w:rsidRDefault="00CF3D9A" w:rsidP="00CF3D9A">
      <w:pPr>
        <w:rPr>
          <w:color w:val="595959" w:themeColor="text1" w:themeTint="A6"/>
        </w:rPr>
        <w:sectPr w:rsidR="00CF3D9A" w:rsidRPr="00CF3D9A" w:rsidSect="008258E3">
          <w:headerReference w:type="default" r:id="rId11"/>
          <w:footerReference w:type="default" r:id="rId12"/>
          <w:pgSz w:w="11906" w:h="16838"/>
          <w:pgMar w:top="1417" w:right="1417" w:bottom="1417" w:left="1417" w:header="708" w:footer="708" w:gutter="0"/>
          <w:cols w:space="708"/>
          <w:docGrid w:linePitch="360"/>
        </w:sectPr>
      </w:pPr>
    </w:p>
    <w:tbl>
      <w:tblPr>
        <w:tblStyle w:val="Grilledutableau"/>
        <w:tblW w:w="14313" w:type="dxa"/>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Look w:val="04A0" w:firstRow="1" w:lastRow="0" w:firstColumn="1" w:lastColumn="0" w:noHBand="0" w:noVBand="1"/>
      </w:tblPr>
      <w:tblGrid>
        <w:gridCol w:w="7087"/>
        <w:gridCol w:w="7226"/>
      </w:tblGrid>
      <w:tr w:rsidR="00CF3D9A" w:rsidRPr="00CF3D9A" w14:paraId="4EBBEA8F" w14:textId="77777777" w:rsidTr="0089309A">
        <w:trPr>
          <w:trHeight w:val="3458"/>
        </w:trPr>
        <w:tc>
          <w:tcPr>
            <w:tcW w:w="7087" w:type="dxa"/>
          </w:tcPr>
          <w:p w14:paraId="0092EFD8" w14:textId="77777777" w:rsidR="00CF3D9A" w:rsidRPr="00CF3D9A" w:rsidRDefault="00CF3D9A" w:rsidP="0089309A">
            <w:pPr>
              <w:pStyle w:val="Lgende"/>
              <w:keepNext/>
              <w:rPr>
                <w:rFonts w:ascii="Arial" w:hAnsi="Arial" w:cs="Arial"/>
                <w:color w:val="595959" w:themeColor="text1" w:themeTint="A6"/>
                <w:sz w:val="22"/>
                <w:szCs w:val="22"/>
              </w:rPr>
            </w:pPr>
            <w:r w:rsidRPr="00CF3D9A">
              <w:rPr>
                <w:rFonts w:ascii="Arial" w:hAnsi="Arial" w:cs="Arial"/>
                <w:color w:val="595959" w:themeColor="text1" w:themeTint="A6"/>
                <w:sz w:val="22"/>
                <w:szCs w:val="22"/>
              </w:rPr>
              <w:lastRenderedPageBreak/>
              <w:t xml:space="preserve">Graphique </w:t>
            </w:r>
            <w:r w:rsidRPr="00CF3D9A">
              <w:rPr>
                <w:rFonts w:ascii="Arial" w:hAnsi="Arial" w:cs="Arial"/>
                <w:color w:val="595959" w:themeColor="text1" w:themeTint="A6"/>
                <w:sz w:val="22"/>
                <w:szCs w:val="22"/>
              </w:rPr>
              <w:fldChar w:fldCharType="begin"/>
            </w:r>
            <w:r w:rsidRPr="00CF3D9A">
              <w:rPr>
                <w:rFonts w:ascii="Arial" w:hAnsi="Arial" w:cs="Arial"/>
                <w:color w:val="595959" w:themeColor="text1" w:themeTint="A6"/>
                <w:sz w:val="22"/>
                <w:szCs w:val="22"/>
              </w:rPr>
              <w:instrText xml:space="preserve"> SEQ Graphique \* ARABIC </w:instrText>
            </w:r>
            <w:r w:rsidRPr="00CF3D9A">
              <w:rPr>
                <w:rFonts w:ascii="Arial" w:hAnsi="Arial" w:cs="Arial"/>
                <w:color w:val="595959" w:themeColor="text1" w:themeTint="A6"/>
                <w:sz w:val="22"/>
                <w:szCs w:val="22"/>
              </w:rPr>
              <w:fldChar w:fldCharType="separate"/>
            </w:r>
            <w:r w:rsidRPr="00CF3D9A">
              <w:rPr>
                <w:rFonts w:ascii="Arial" w:hAnsi="Arial" w:cs="Arial"/>
                <w:noProof/>
                <w:color w:val="595959" w:themeColor="text1" w:themeTint="A6"/>
                <w:sz w:val="22"/>
                <w:szCs w:val="22"/>
              </w:rPr>
              <w:t>2</w:t>
            </w:r>
            <w:r w:rsidRPr="00CF3D9A">
              <w:rPr>
                <w:rFonts w:ascii="Arial" w:hAnsi="Arial" w:cs="Arial"/>
                <w:noProof/>
                <w:color w:val="595959" w:themeColor="text1" w:themeTint="A6"/>
                <w:sz w:val="22"/>
                <w:szCs w:val="22"/>
              </w:rPr>
              <w:fldChar w:fldCharType="end"/>
            </w:r>
            <w:r w:rsidRPr="00CF3D9A">
              <w:rPr>
                <w:rFonts w:ascii="Arial" w:hAnsi="Arial" w:cs="Arial"/>
                <w:color w:val="595959" w:themeColor="text1" w:themeTint="A6"/>
                <w:sz w:val="22"/>
                <w:szCs w:val="22"/>
              </w:rPr>
              <w:t> : Les flux nets de trésorerie (valeur courante)</w:t>
            </w:r>
          </w:p>
          <w:p w14:paraId="2007E2C6" w14:textId="77777777" w:rsidR="00CF3D9A" w:rsidRPr="00CF3D9A" w:rsidRDefault="00CF3D9A" w:rsidP="0089309A">
            <w:pPr>
              <w:rPr>
                <w:color w:val="595959" w:themeColor="text1" w:themeTint="A6"/>
              </w:rPr>
            </w:pPr>
            <w:r w:rsidRPr="00CF3D9A">
              <w:rPr>
                <w:noProof/>
                <w:color w:val="595959" w:themeColor="text1" w:themeTint="A6"/>
                <w:lang w:eastAsia="fr-FR"/>
              </w:rPr>
              <w:drawing>
                <wp:inline distT="0" distB="0" distL="0" distR="0" wp14:anchorId="506DB81A" wp14:editId="1C3C9603">
                  <wp:extent cx="4362450" cy="2895600"/>
                  <wp:effectExtent l="0" t="0" r="0" b="0"/>
                  <wp:docPr id="9" name="Graphique 9"/>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tc>
        <w:tc>
          <w:tcPr>
            <w:tcW w:w="7226" w:type="dxa"/>
          </w:tcPr>
          <w:p w14:paraId="69938D56" w14:textId="77777777" w:rsidR="00CF3D9A" w:rsidRPr="00CF3D9A" w:rsidRDefault="00CF3D9A" w:rsidP="0089309A">
            <w:pPr>
              <w:pStyle w:val="Lgende"/>
              <w:keepNext/>
              <w:rPr>
                <w:rFonts w:ascii="Arial" w:hAnsi="Arial" w:cs="Arial"/>
                <w:color w:val="595959" w:themeColor="text1" w:themeTint="A6"/>
                <w:sz w:val="22"/>
                <w:szCs w:val="22"/>
              </w:rPr>
            </w:pPr>
            <w:r w:rsidRPr="00CF3D9A">
              <w:rPr>
                <w:rFonts w:ascii="Arial" w:hAnsi="Arial" w:cs="Arial"/>
                <w:color w:val="595959" w:themeColor="text1" w:themeTint="A6"/>
                <w:sz w:val="22"/>
                <w:szCs w:val="22"/>
              </w:rPr>
              <w:t xml:space="preserve">Graphique </w:t>
            </w:r>
            <w:r w:rsidRPr="00CF3D9A">
              <w:rPr>
                <w:rFonts w:ascii="Arial" w:hAnsi="Arial" w:cs="Arial"/>
                <w:color w:val="595959" w:themeColor="text1" w:themeTint="A6"/>
                <w:sz w:val="22"/>
                <w:szCs w:val="22"/>
              </w:rPr>
              <w:fldChar w:fldCharType="begin"/>
            </w:r>
            <w:r w:rsidRPr="00CF3D9A">
              <w:rPr>
                <w:rFonts w:ascii="Arial" w:hAnsi="Arial" w:cs="Arial"/>
                <w:color w:val="595959" w:themeColor="text1" w:themeTint="A6"/>
                <w:sz w:val="22"/>
                <w:szCs w:val="22"/>
              </w:rPr>
              <w:instrText xml:space="preserve"> SEQ Graphique \* ARABIC </w:instrText>
            </w:r>
            <w:r w:rsidRPr="00CF3D9A">
              <w:rPr>
                <w:rFonts w:ascii="Arial" w:hAnsi="Arial" w:cs="Arial"/>
                <w:color w:val="595959" w:themeColor="text1" w:themeTint="A6"/>
                <w:sz w:val="22"/>
                <w:szCs w:val="22"/>
              </w:rPr>
              <w:fldChar w:fldCharType="separate"/>
            </w:r>
            <w:r w:rsidRPr="00CF3D9A">
              <w:rPr>
                <w:rFonts w:ascii="Arial" w:hAnsi="Arial" w:cs="Arial"/>
                <w:noProof/>
                <w:color w:val="595959" w:themeColor="text1" w:themeTint="A6"/>
                <w:sz w:val="22"/>
                <w:szCs w:val="22"/>
              </w:rPr>
              <w:t>3</w:t>
            </w:r>
            <w:r w:rsidRPr="00CF3D9A">
              <w:rPr>
                <w:rFonts w:ascii="Arial" w:hAnsi="Arial" w:cs="Arial"/>
                <w:noProof/>
                <w:color w:val="595959" w:themeColor="text1" w:themeTint="A6"/>
                <w:sz w:val="22"/>
                <w:szCs w:val="22"/>
              </w:rPr>
              <w:fldChar w:fldCharType="end"/>
            </w:r>
            <w:r w:rsidRPr="00CF3D9A">
              <w:rPr>
                <w:rFonts w:ascii="Arial" w:hAnsi="Arial" w:cs="Arial"/>
                <w:color w:val="595959" w:themeColor="text1" w:themeTint="A6"/>
                <w:sz w:val="22"/>
                <w:szCs w:val="22"/>
              </w:rPr>
              <w:t> : Les recettes fiscales annuelles (valeur courante)</w:t>
            </w:r>
          </w:p>
          <w:p w14:paraId="5CA2058D" w14:textId="77777777" w:rsidR="00CF3D9A" w:rsidRPr="00CF3D9A" w:rsidRDefault="00CF3D9A" w:rsidP="0089309A">
            <w:pPr>
              <w:rPr>
                <w:color w:val="595959" w:themeColor="text1" w:themeTint="A6"/>
              </w:rPr>
            </w:pPr>
            <w:r w:rsidRPr="00CF3D9A">
              <w:rPr>
                <w:noProof/>
                <w:color w:val="595959" w:themeColor="text1" w:themeTint="A6"/>
                <w:lang w:eastAsia="fr-FR"/>
              </w:rPr>
              <w:drawing>
                <wp:inline distT="0" distB="0" distL="0" distR="0" wp14:anchorId="5B53BF63" wp14:editId="36E2320D">
                  <wp:extent cx="4499610" cy="2895600"/>
                  <wp:effectExtent l="0" t="0" r="0" b="0"/>
                  <wp:docPr id="10" name="Graphique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tc>
      </w:tr>
      <w:tr w:rsidR="00CF3D9A" w:rsidRPr="00CF3D9A" w14:paraId="0887FEBE" w14:textId="77777777" w:rsidTr="0089309A">
        <w:trPr>
          <w:trHeight w:val="3798"/>
        </w:trPr>
        <w:tc>
          <w:tcPr>
            <w:tcW w:w="7087" w:type="dxa"/>
          </w:tcPr>
          <w:p w14:paraId="1A223EDA" w14:textId="77777777" w:rsidR="00CF3D9A" w:rsidRPr="00CF3D9A" w:rsidRDefault="00CF3D9A" w:rsidP="0089309A">
            <w:pPr>
              <w:pStyle w:val="Lgende"/>
              <w:keepNext/>
              <w:rPr>
                <w:rFonts w:ascii="Arial" w:hAnsi="Arial" w:cs="Arial"/>
                <w:color w:val="595959" w:themeColor="text1" w:themeTint="A6"/>
                <w:sz w:val="22"/>
                <w:szCs w:val="22"/>
              </w:rPr>
            </w:pPr>
            <w:r w:rsidRPr="00CF3D9A">
              <w:rPr>
                <w:rFonts w:ascii="Arial" w:hAnsi="Arial" w:cs="Arial"/>
                <w:color w:val="595959" w:themeColor="text1" w:themeTint="A6"/>
                <w:sz w:val="22"/>
                <w:szCs w:val="22"/>
              </w:rPr>
              <w:t xml:space="preserve">Graphique </w:t>
            </w:r>
            <w:r w:rsidRPr="00CF3D9A">
              <w:rPr>
                <w:rFonts w:ascii="Arial" w:hAnsi="Arial" w:cs="Arial"/>
                <w:color w:val="595959" w:themeColor="text1" w:themeTint="A6"/>
                <w:sz w:val="22"/>
                <w:szCs w:val="22"/>
              </w:rPr>
              <w:fldChar w:fldCharType="begin"/>
            </w:r>
            <w:r w:rsidRPr="00CF3D9A">
              <w:rPr>
                <w:rFonts w:ascii="Arial" w:hAnsi="Arial" w:cs="Arial"/>
                <w:color w:val="595959" w:themeColor="text1" w:themeTint="A6"/>
                <w:sz w:val="22"/>
                <w:szCs w:val="22"/>
              </w:rPr>
              <w:instrText xml:space="preserve"> SEQ Graphique \* ARABIC </w:instrText>
            </w:r>
            <w:r w:rsidRPr="00CF3D9A">
              <w:rPr>
                <w:rFonts w:ascii="Arial" w:hAnsi="Arial" w:cs="Arial"/>
                <w:color w:val="595959" w:themeColor="text1" w:themeTint="A6"/>
                <w:sz w:val="22"/>
                <w:szCs w:val="22"/>
              </w:rPr>
              <w:fldChar w:fldCharType="separate"/>
            </w:r>
            <w:r w:rsidRPr="00CF3D9A">
              <w:rPr>
                <w:rFonts w:ascii="Arial" w:hAnsi="Arial" w:cs="Arial"/>
                <w:noProof/>
                <w:color w:val="595959" w:themeColor="text1" w:themeTint="A6"/>
                <w:sz w:val="22"/>
                <w:szCs w:val="22"/>
              </w:rPr>
              <w:t>4</w:t>
            </w:r>
            <w:r w:rsidRPr="00CF3D9A">
              <w:rPr>
                <w:rFonts w:ascii="Arial" w:hAnsi="Arial" w:cs="Arial"/>
                <w:noProof/>
                <w:color w:val="595959" w:themeColor="text1" w:themeTint="A6"/>
                <w:sz w:val="22"/>
                <w:szCs w:val="22"/>
              </w:rPr>
              <w:fldChar w:fldCharType="end"/>
            </w:r>
            <w:r w:rsidRPr="00CF3D9A">
              <w:rPr>
                <w:rFonts w:ascii="Arial" w:hAnsi="Arial" w:cs="Arial"/>
                <w:color w:val="595959" w:themeColor="text1" w:themeTint="A6"/>
                <w:sz w:val="22"/>
                <w:szCs w:val="22"/>
              </w:rPr>
              <w:t> : Le partage de la rente minière (valeur actuelle)</w:t>
            </w:r>
          </w:p>
          <w:p w14:paraId="2ED1EEF0" w14:textId="77777777" w:rsidR="00CF3D9A" w:rsidRPr="00CF3D9A" w:rsidRDefault="00CF3D9A" w:rsidP="0089309A">
            <w:pPr>
              <w:rPr>
                <w:color w:val="595959" w:themeColor="text1" w:themeTint="A6"/>
              </w:rPr>
            </w:pPr>
            <w:r w:rsidRPr="00CF3D9A">
              <w:rPr>
                <w:noProof/>
                <w:color w:val="595959" w:themeColor="text1" w:themeTint="A6"/>
                <w:lang w:eastAsia="fr-FR"/>
              </w:rPr>
              <w:drawing>
                <wp:inline distT="0" distB="0" distL="0" distR="0" wp14:anchorId="1EA6E495" wp14:editId="039BE307">
                  <wp:extent cx="4362450" cy="2219325"/>
                  <wp:effectExtent l="0" t="0" r="0" b="0"/>
                  <wp:docPr id="11" name="Graphique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tc>
        <w:tc>
          <w:tcPr>
            <w:tcW w:w="7226" w:type="dxa"/>
          </w:tcPr>
          <w:p w14:paraId="46C83A70" w14:textId="77777777" w:rsidR="00CF3D9A" w:rsidRPr="00CF3D9A" w:rsidRDefault="00CF3D9A" w:rsidP="0089309A">
            <w:pPr>
              <w:pStyle w:val="Lgende"/>
              <w:keepNext/>
              <w:rPr>
                <w:rFonts w:ascii="Arial" w:hAnsi="Arial" w:cs="Arial"/>
                <w:color w:val="595959" w:themeColor="text1" w:themeTint="A6"/>
                <w:sz w:val="22"/>
                <w:szCs w:val="22"/>
              </w:rPr>
            </w:pPr>
            <w:r w:rsidRPr="00CF3D9A">
              <w:rPr>
                <w:rFonts w:ascii="Arial" w:hAnsi="Arial" w:cs="Arial"/>
                <w:color w:val="595959" w:themeColor="text1" w:themeTint="A6"/>
                <w:sz w:val="22"/>
                <w:szCs w:val="22"/>
              </w:rPr>
              <w:t xml:space="preserve">Graphique </w:t>
            </w:r>
            <w:r w:rsidRPr="00CF3D9A">
              <w:rPr>
                <w:rFonts w:ascii="Arial" w:hAnsi="Arial" w:cs="Arial"/>
                <w:color w:val="595959" w:themeColor="text1" w:themeTint="A6"/>
                <w:sz w:val="22"/>
                <w:szCs w:val="22"/>
              </w:rPr>
              <w:fldChar w:fldCharType="begin"/>
            </w:r>
            <w:r w:rsidRPr="00CF3D9A">
              <w:rPr>
                <w:rFonts w:ascii="Arial" w:hAnsi="Arial" w:cs="Arial"/>
                <w:color w:val="595959" w:themeColor="text1" w:themeTint="A6"/>
                <w:sz w:val="22"/>
                <w:szCs w:val="22"/>
              </w:rPr>
              <w:instrText xml:space="preserve"> SEQ Graphique \* ARABIC </w:instrText>
            </w:r>
            <w:r w:rsidRPr="00CF3D9A">
              <w:rPr>
                <w:rFonts w:ascii="Arial" w:hAnsi="Arial" w:cs="Arial"/>
                <w:color w:val="595959" w:themeColor="text1" w:themeTint="A6"/>
                <w:sz w:val="22"/>
                <w:szCs w:val="22"/>
              </w:rPr>
              <w:fldChar w:fldCharType="separate"/>
            </w:r>
            <w:r w:rsidRPr="00CF3D9A">
              <w:rPr>
                <w:rFonts w:ascii="Arial" w:hAnsi="Arial" w:cs="Arial"/>
                <w:noProof/>
                <w:color w:val="595959" w:themeColor="text1" w:themeTint="A6"/>
                <w:sz w:val="22"/>
                <w:szCs w:val="22"/>
              </w:rPr>
              <w:t>5</w:t>
            </w:r>
            <w:r w:rsidRPr="00CF3D9A">
              <w:rPr>
                <w:rFonts w:ascii="Arial" w:hAnsi="Arial" w:cs="Arial"/>
                <w:noProof/>
                <w:color w:val="595959" w:themeColor="text1" w:themeTint="A6"/>
                <w:sz w:val="22"/>
                <w:szCs w:val="22"/>
              </w:rPr>
              <w:fldChar w:fldCharType="end"/>
            </w:r>
            <w:r w:rsidRPr="00CF3D9A">
              <w:rPr>
                <w:rFonts w:ascii="Arial" w:hAnsi="Arial" w:cs="Arial"/>
                <w:color w:val="595959" w:themeColor="text1" w:themeTint="A6"/>
                <w:sz w:val="22"/>
                <w:szCs w:val="22"/>
              </w:rPr>
              <w:t> : Les recettes fiscales totales (valeur actuelle)</w:t>
            </w:r>
          </w:p>
          <w:p w14:paraId="0A76BEF2" w14:textId="77777777" w:rsidR="00CF3D9A" w:rsidRPr="00CF3D9A" w:rsidRDefault="00CF3D9A" w:rsidP="0089309A">
            <w:pPr>
              <w:pStyle w:val="Lgende"/>
              <w:keepNext/>
              <w:rPr>
                <w:color w:val="595959" w:themeColor="text1" w:themeTint="A6"/>
              </w:rPr>
            </w:pPr>
            <w:r w:rsidRPr="00CF3D9A">
              <w:rPr>
                <w:noProof/>
                <w:color w:val="595959" w:themeColor="text1" w:themeTint="A6"/>
              </w:rPr>
              <w:drawing>
                <wp:inline distT="0" distB="0" distL="0" distR="0" wp14:anchorId="0E612E2E" wp14:editId="41355BC0">
                  <wp:extent cx="4499610" cy="2228850"/>
                  <wp:effectExtent l="0" t="0" r="0" b="0"/>
                  <wp:docPr id="12" name="Graphique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tc>
      </w:tr>
    </w:tbl>
    <w:p w14:paraId="644474AC" w14:textId="77777777" w:rsidR="00CF3D9A" w:rsidRPr="00CF3D9A" w:rsidRDefault="00CF3D9A" w:rsidP="00CF3D9A">
      <w:pPr>
        <w:rPr>
          <w:color w:val="595959" w:themeColor="text1" w:themeTint="A6"/>
        </w:rPr>
        <w:sectPr w:rsidR="00CF3D9A" w:rsidRPr="00CF3D9A" w:rsidSect="00207B4C">
          <w:type w:val="continuous"/>
          <w:pgSz w:w="16838" w:h="11906" w:orient="landscape"/>
          <w:pgMar w:top="1418" w:right="1418" w:bottom="1418" w:left="1418" w:header="709" w:footer="709" w:gutter="0"/>
          <w:cols w:space="708"/>
          <w:docGrid w:linePitch="360"/>
        </w:sectPr>
      </w:pPr>
    </w:p>
    <w:p w14:paraId="313CC66C" w14:textId="77777777" w:rsidR="00CF3D9A" w:rsidRPr="00CF3D9A" w:rsidRDefault="00CF3D9A" w:rsidP="00CF3D9A">
      <w:pPr>
        <w:pStyle w:val="Lgende"/>
        <w:keepNext/>
        <w:rPr>
          <w:rFonts w:ascii="Arial" w:hAnsi="Arial" w:cs="Arial"/>
          <w:color w:val="595959" w:themeColor="text1" w:themeTint="A6"/>
          <w:sz w:val="22"/>
          <w:szCs w:val="22"/>
        </w:rPr>
      </w:pPr>
      <w:r w:rsidRPr="00CF3D9A">
        <w:rPr>
          <w:rFonts w:ascii="Arial" w:hAnsi="Arial" w:cs="Arial"/>
          <w:color w:val="595959" w:themeColor="text1" w:themeTint="A6"/>
          <w:sz w:val="22"/>
          <w:szCs w:val="22"/>
        </w:rPr>
        <w:lastRenderedPageBreak/>
        <w:t xml:space="preserve">Graphique </w:t>
      </w:r>
      <w:r w:rsidRPr="00CF3D9A">
        <w:rPr>
          <w:rFonts w:ascii="Arial" w:hAnsi="Arial" w:cs="Arial"/>
          <w:color w:val="595959" w:themeColor="text1" w:themeTint="A6"/>
          <w:sz w:val="22"/>
          <w:szCs w:val="22"/>
        </w:rPr>
        <w:fldChar w:fldCharType="begin"/>
      </w:r>
      <w:r w:rsidRPr="00CF3D9A">
        <w:rPr>
          <w:rFonts w:ascii="Arial" w:hAnsi="Arial" w:cs="Arial"/>
          <w:color w:val="595959" w:themeColor="text1" w:themeTint="A6"/>
          <w:sz w:val="22"/>
          <w:szCs w:val="22"/>
        </w:rPr>
        <w:instrText xml:space="preserve"> SEQ Graphique \* ARABIC </w:instrText>
      </w:r>
      <w:r w:rsidRPr="00CF3D9A">
        <w:rPr>
          <w:rFonts w:ascii="Arial" w:hAnsi="Arial" w:cs="Arial"/>
          <w:color w:val="595959" w:themeColor="text1" w:themeTint="A6"/>
          <w:sz w:val="22"/>
          <w:szCs w:val="22"/>
        </w:rPr>
        <w:fldChar w:fldCharType="separate"/>
      </w:r>
      <w:r w:rsidRPr="00CF3D9A">
        <w:rPr>
          <w:rFonts w:ascii="Arial" w:hAnsi="Arial" w:cs="Arial"/>
          <w:noProof/>
          <w:color w:val="595959" w:themeColor="text1" w:themeTint="A6"/>
          <w:sz w:val="22"/>
          <w:szCs w:val="22"/>
        </w:rPr>
        <w:t>6</w:t>
      </w:r>
      <w:r w:rsidRPr="00CF3D9A">
        <w:rPr>
          <w:rFonts w:ascii="Arial" w:hAnsi="Arial" w:cs="Arial"/>
          <w:noProof/>
          <w:color w:val="595959" w:themeColor="text1" w:themeTint="A6"/>
          <w:sz w:val="22"/>
          <w:szCs w:val="22"/>
        </w:rPr>
        <w:fldChar w:fldCharType="end"/>
      </w:r>
      <w:r w:rsidRPr="00CF3D9A">
        <w:rPr>
          <w:rFonts w:ascii="Arial" w:hAnsi="Arial" w:cs="Arial"/>
          <w:color w:val="595959" w:themeColor="text1" w:themeTint="A6"/>
          <w:sz w:val="22"/>
          <w:szCs w:val="22"/>
        </w:rPr>
        <w:t> : Le taux de rendement interne</w:t>
      </w:r>
    </w:p>
    <w:p w14:paraId="0394F235" w14:textId="77777777" w:rsidR="00CF3D9A" w:rsidRPr="00CF3D9A" w:rsidRDefault="00CF3D9A" w:rsidP="00CF3D9A">
      <w:pPr>
        <w:rPr>
          <w:color w:val="595959" w:themeColor="text1" w:themeTint="A6"/>
        </w:rPr>
      </w:pPr>
      <w:r w:rsidRPr="00CF3D9A">
        <w:rPr>
          <w:noProof/>
          <w:color w:val="595959" w:themeColor="text1" w:themeTint="A6"/>
          <w:lang w:eastAsia="fr-FR"/>
        </w:rPr>
        <w:drawing>
          <wp:inline distT="0" distB="0" distL="0" distR="0" wp14:anchorId="370DA1B4" wp14:editId="21013EC6">
            <wp:extent cx="5760720" cy="2700000"/>
            <wp:effectExtent l="0" t="0" r="0" b="0"/>
            <wp:docPr id="6" name="Graphique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041C8DFC" w14:textId="77777777" w:rsidR="00CF3D9A" w:rsidRPr="00CF3D9A" w:rsidRDefault="00CF3D9A" w:rsidP="00CF3D9A">
      <w:pPr>
        <w:rPr>
          <w:color w:val="595959" w:themeColor="text1" w:themeTint="A6"/>
        </w:rPr>
      </w:pPr>
    </w:p>
    <w:p w14:paraId="567FAEE6" w14:textId="77777777" w:rsidR="00CF3D9A" w:rsidRPr="00200DCD" w:rsidRDefault="00CF3D9A" w:rsidP="009C5C0A">
      <w:pPr>
        <w:pStyle w:val="Titre1"/>
        <w:numPr>
          <w:ilvl w:val="0"/>
          <w:numId w:val="0"/>
        </w:numPr>
        <w:ind w:left="360"/>
        <w:rPr>
          <w:rFonts w:ascii="Arial" w:hAnsi="Arial" w:cs="Arial"/>
          <w:color w:val="595959" w:themeColor="text1" w:themeTint="A6"/>
          <w:szCs w:val="24"/>
        </w:rPr>
      </w:pPr>
      <w:r w:rsidRPr="00200DCD">
        <w:rPr>
          <w:rFonts w:ascii="Arial" w:hAnsi="Arial" w:cs="Arial"/>
          <w:color w:val="595959" w:themeColor="text1" w:themeTint="A6"/>
          <w:szCs w:val="24"/>
        </w:rPr>
        <w:t>III) Les limites</w:t>
      </w:r>
    </w:p>
    <w:p w14:paraId="7B6589CA" w14:textId="77777777" w:rsidR="00CF3D9A" w:rsidRPr="00200DCD" w:rsidRDefault="00CF3D9A" w:rsidP="00200DCD">
      <w:pPr>
        <w:pStyle w:val="Texte"/>
        <w:jc w:val="left"/>
        <w:rPr>
          <w:rFonts w:ascii="Arial" w:hAnsi="Arial" w:cs="Arial"/>
          <w:color w:val="595959" w:themeColor="text1" w:themeTint="A6"/>
        </w:rPr>
      </w:pPr>
      <w:r w:rsidRPr="00200DCD">
        <w:rPr>
          <w:rFonts w:ascii="Arial" w:hAnsi="Arial" w:cs="Arial"/>
          <w:b/>
          <w:color w:val="595959" w:themeColor="text1" w:themeTint="A6"/>
        </w:rPr>
        <w:t>La modélisation permet de simuler l’application d’un système fiscal sur un projet minier</w:t>
      </w:r>
      <w:r w:rsidRPr="00200DCD">
        <w:rPr>
          <w:rFonts w:ascii="Arial" w:hAnsi="Arial" w:cs="Arial"/>
          <w:color w:val="595959" w:themeColor="text1" w:themeTint="A6"/>
        </w:rPr>
        <w:t>. Mais la qualité des résultats dépend de l’exactitude des données économiques et fiscales qui sont utilisées. Or l’exploitation minière est soumise à de nombreuses incertitudes : la production annuelle, le cours du minerai et les coûts de production sont des données difficiles à prévoir ex ante. Il est donc nécessaire d’être très prudent avec les résultats qui ne sont que</w:t>
      </w:r>
      <w:bookmarkStart w:id="0" w:name="_GoBack"/>
      <w:bookmarkEnd w:id="0"/>
      <w:r w:rsidRPr="00200DCD">
        <w:rPr>
          <w:rFonts w:ascii="Arial" w:hAnsi="Arial" w:cs="Arial"/>
          <w:color w:val="595959" w:themeColor="text1" w:themeTint="A6"/>
        </w:rPr>
        <w:t xml:space="preserve"> des estimations.</w:t>
      </w:r>
    </w:p>
    <w:p w14:paraId="0163FB3B" w14:textId="77777777" w:rsidR="00CF3D9A" w:rsidRPr="00200DCD" w:rsidRDefault="00CF3D9A" w:rsidP="00200DCD">
      <w:pPr>
        <w:rPr>
          <w:rFonts w:ascii="Arial" w:hAnsi="Arial" w:cs="Arial"/>
          <w:color w:val="595959" w:themeColor="text1" w:themeTint="A6"/>
          <w:sz w:val="24"/>
          <w:szCs w:val="24"/>
        </w:rPr>
      </w:pPr>
    </w:p>
    <w:p w14:paraId="73A9A8D3" w14:textId="77777777" w:rsidR="00CF3D9A" w:rsidRPr="00200DCD" w:rsidRDefault="00CF3D9A" w:rsidP="009C5C0A">
      <w:pPr>
        <w:pStyle w:val="Titre1"/>
        <w:numPr>
          <w:ilvl w:val="0"/>
          <w:numId w:val="0"/>
        </w:numPr>
        <w:ind w:left="360"/>
        <w:rPr>
          <w:rFonts w:ascii="Arial" w:hAnsi="Arial" w:cs="Arial"/>
          <w:color w:val="595959" w:themeColor="text1" w:themeTint="A6"/>
          <w:szCs w:val="24"/>
        </w:rPr>
      </w:pPr>
      <w:r w:rsidRPr="00200DCD">
        <w:rPr>
          <w:rFonts w:ascii="Arial" w:hAnsi="Arial" w:cs="Arial"/>
          <w:color w:val="595959" w:themeColor="text1" w:themeTint="A6"/>
          <w:szCs w:val="24"/>
        </w:rPr>
        <w:t>Conclusion</w:t>
      </w:r>
    </w:p>
    <w:p w14:paraId="70431431" w14:textId="761E8201" w:rsidR="004144B0" w:rsidRPr="00200DCD" w:rsidRDefault="00CF3D9A" w:rsidP="00200DCD">
      <w:pPr>
        <w:tabs>
          <w:tab w:val="left" w:leader="dot" w:pos="9072"/>
        </w:tabs>
        <w:rPr>
          <w:rFonts w:ascii="Arial" w:hAnsi="Arial" w:cs="Arial"/>
          <w:bCs/>
          <w:color w:val="1C2947"/>
          <w:sz w:val="24"/>
          <w:szCs w:val="24"/>
        </w:rPr>
      </w:pPr>
      <w:r w:rsidRPr="00200DCD">
        <w:rPr>
          <w:rFonts w:ascii="Arial" w:hAnsi="Arial" w:cs="Arial"/>
          <w:color w:val="595959" w:themeColor="text1" w:themeTint="A6"/>
          <w:sz w:val="24"/>
          <w:szCs w:val="24"/>
        </w:rPr>
        <w:t xml:space="preserve">Pour un cours de 1 300 $/oz d’or, la rente générée par le projet minier est estimée à 513 millions $. Le système fiscal permet d’en capter environ 319 millions $, soit un taux effectif moyen d’imposition (TEMI) de 62,2%. Le taux de rendement interne (TRI) passe alors de 61,4% avant </w:t>
      </w:r>
      <w:r w:rsidR="00200DCD" w:rsidRPr="00200DCD">
        <w:rPr>
          <w:rFonts w:ascii="Arial" w:hAnsi="Arial" w:cs="Arial"/>
          <w:color w:val="595959" w:themeColor="text1" w:themeTint="A6"/>
          <w:sz w:val="24"/>
          <w:szCs w:val="24"/>
        </w:rPr>
        <w:t>impôt</w:t>
      </w:r>
    </w:p>
    <w:sectPr w:rsidR="004144B0" w:rsidRPr="00200DCD" w:rsidSect="007A3BF7">
      <w:headerReference w:type="default" r:id="rId18"/>
      <w:footerReference w:type="default" r:id="rId1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C11FB3F" w14:textId="77777777" w:rsidR="00A7741C" w:rsidRDefault="00A7741C" w:rsidP="00BE4AE7">
      <w:pPr>
        <w:spacing w:after="0" w:line="240" w:lineRule="auto"/>
      </w:pPr>
      <w:r>
        <w:separator/>
      </w:r>
    </w:p>
  </w:endnote>
  <w:endnote w:type="continuationSeparator" w:id="0">
    <w:p w14:paraId="7523B7D4" w14:textId="77777777" w:rsidR="00A7741C" w:rsidRDefault="00A7741C" w:rsidP="00BE4A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EC634E" w14:textId="519D18D3" w:rsidR="00200DCD" w:rsidRPr="00BE4AE7" w:rsidRDefault="00200DCD" w:rsidP="00200DCD">
    <w:pPr>
      <w:pStyle w:val="Pieddepage"/>
      <w:jc w:val="right"/>
      <w:rPr>
        <w:b/>
        <w:color w:val="000000" w:themeColor="text1"/>
      </w:rPr>
    </w:pPr>
    <w:r>
      <w:rPr>
        <w:b/>
        <w:color w:val="000000" w:themeColor="text1"/>
      </w:rPr>
      <w:t>Modélisation de partage de la rente minière en Afrique</w:t>
    </w:r>
    <w:r w:rsidRPr="00682618">
      <w:rPr>
        <w:color w:val="000000" w:themeColor="text1"/>
      </w:rPr>
      <w:t xml:space="preserve"> </w:t>
    </w:r>
    <w:r>
      <w:rPr>
        <w:color w:val="000000" w:themeColor="text1"/>
      </w:rPr>
      <w:t>–</w:t>
    </w:r>
    <w:r w:rsidRPr="00682618">
      <w:rPr>
        <w:color w:val="000000" w:themeColor="text1"/>
      </w:rPr>
      <w:t xml:space="preserve"> </w:t>
    </w:r>
    <w:r>
      <w:rPr>
        <w:rStyle w:val="tl8wme"/>
      </w:rPr>
      <w:t xml:space="preserve">Note de synthèse </w:t>
    </w:r>
    <w:r w:rsidRPr="0068476B">
      <w:rPr>
        <w:color w:val="000000" w:themeColor="text1"/>
        <w:sz w:val="32"/>
        <w:szCs w:val="32"/>
      </w:rPr>
      <w:t>I</w:t>
    </w:r>
    <w:r>
      <w:rPr>
        <w:color w:val="000000" w:themeColor="text1"/>
      </w:rPr>
      <w:t xml:space="preserve"> </w:t>
    </w:r>
    <w:r w:rsidRPr="00BE4AE7">
      <w:rPr>
        <w:b/>
        <w:color w:val="000000" w:themeColor="text1"/>
      </w:rPr>
      <w:fldChar w:fldCharType="begin"/>
    </w:r>
    <w:r w:rsidRPr="00BE4AE7">
      <w:rPr>
        <w:b/>
        <w:color w:val="000000" w:themeColor="text1"/>
      </w:rPr>
      <w:instrText>PAGE  \* Arabic</w:instrText>
    </w:r>
    <w:r w:rsidRPr="00BE4AE7">
      <w:rPr>
        <w:b/>
        <w:color w:val="000000" w:themeColor="text1"/>
      </w:rPr>
      <w:fldChar w:fldCharType="separate"/>
    </w:r>
    <w:r w:rsidR="009C5C0A">
      <w:rPr>
        <w:b/>
        <w:noProof/>
        <w:color w:val="000000" w:themeColor="text1"/>
      </w:rPr>
      <w:t>5</w:t>
    </w:r>
    <w:r w:rsidRPr="00BE4AE7">
      <w:rPr>
        <w:b/>
        <w:color w:val="000000" w:themeColor="text1"/>
      </w:rPr>
      <w:fldChar w:fldCharType="end"/>
    </w:r>
  </w:p>
  <w:p w14:paraId="660DE582" w14:textId="5C05699F" w:rsidR="00CF3D9A" w:rsidRPr="00200DCD" w:rsidRDefault="00CF3D9A" w:rsidP="00200DCD">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A30166D" w14:textId="5ABC87E6" w:rsidR="00BE4AE7" w:rsidRPr="00BE4AE7" w:rsidRDefault="00200DCD" w:rsidP="0068476B">
    <w:pPr>
      <w:pStyle w:val="Pieddepage"/>
      <w:jc w:val="right"/>
      <w:rPr>
        <w:b/>
        <w:color w:val="000000" w:themeColor="text1"/>
      </w:rPr>
    </w:pPr>
    <w:r>
      <w:rPr>
        <w:b/>
        <w:color w:val="000000" w:themeColor="text1"/>
      </w:rPr>
      <w:t>Modélisation de partage de la rente minière en Afrique</w:t>
    </w:r>
    <w:r w:rsidR="00682618" w:rsidRPr="00682618">
      <w:rPr>
        <w:color w:val="000000" w:themeColor="text1"/>
      </w:rPr>
      <w:t xml:space="preserve"> </w:t>
    </w:r>
    <w:r w:rsidR="00282CE6">
      <w:rPr>
        <w:color w:val="000000" w:themeColor="text1"/>
      </w:rPr>
      <w:t>–</w:t>
    </w:r>
    <w:r w:rsidR="00682618" w:rsidRPr="00682618">
      <w:rPr>
        <w:color w:val="000000" w:themeColor="text1"/>
      </w:rPr>
      <w:t xml:space="preserve"> </w:t>
    </w:r>
    <w:r w:rsidR="00A068E5">
      <w:rPr>
        <w:rStyle w:val="tl8wme"/>
      </w:rPr>
      <w:t>Note de synthèse</w:t>
    </w:r>
    <w:r w:rsidR="00106CD8">
      <w:rPr>
        <w:rStyle w:val="tl8wme"/>
      </w:rPr>
      <w:t xml:space="preserve"> </w:t>
    </w:r>
    <w:r w:rsidR="0068476B" w:rsidRPr="0068476B">
      <w:rPr>
        <w:color w:val="000000" w:themeColor="text1"/>
        <w:sz w:val="32"/>
        <w:szCs w:val="32"/>
      </w:rPr>
      <w:t>I</w:t>
    </w:r>
    <w:r w:rsidR="0068476B">
      <w:rPr>
        <w:color w:val="000000" w:themeColor="text1"/>
      </w:rPr>
      <w:t xml:space="preserve"> </w:t>
    </w:r>
    <w:r w:rsidR="0068476B" w:rsidRPr="00BE4AE7">
      <w:rPr>
        <w:b/>
        <w:color w:val="000000" w:themeColor="text1"/>
      </w:rPr>
      <w:fldChar w:fldCharType="begin"/>
    </w:r>
    <w:r w:rsidR="0068476B" w:rsidRPr="00BE4AE7">
      <w:rPr>
        <w:b/>
        <w:color w:val="000000" w:themeColor="text1"/>
      </w:rPr>
      <w:instrText>PAGE  \* Arabic</w:instrText>
    </w:r>
    <w:r w:rsidR="0068476B" w:rsidRPr="00BE4AE7">
      <w:rPr>
        <w:b/>
        <w:color w:val="000000" w:themeColor="text1"/>
      </w:rPr>
      <w:fldChar w:fldCharType="separate"/>
    </w:r>
    <w:r w:rsidR="009C5C0A">
      <w:rPr>
        <w:b/>
        <w:noProof/>
        <w:color w:val="000000" w:themeColor="text1"/>
      </w:rPr>
      <w:t>6</w:t>
    </w:r>
    <w:r w:rsidR="0068476B" w:rsidRPr="00BE4AE7">
      <w:rPr>
        <w:b/>
        <w:color w:val="000000" w:themeColor="text1"/>
      </w:rPr>
      <w:fldChar w:fldCharType="end"/>
    </w:r>
  </w:p>
  <w:p w14:paraId="1AB2F480" w14:textId="77777777" w:rsidR="00BE4AE7" w:rsidRDefault="00BE4AE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9232411" w14:textId="77777777" w:rsidR="00A7741C" w:rsidRDefault="00A7741C" w:rsidP="00BE4AE7">
      <w:pPr>
        <w:spacing w:after="0" w:line="240" w:lineRule="auto"/>
      </w:pPr>
      <w:r>
        <w:separator/>
      </w:r>
    </w:p>
  </w:footnote>
  <w:footnote w:type="continuationSeparator" w:id="0">
    <w:p w14:paraId="52D23EAD" w14:textId="77777777" w:rsidR="00A7741C" w:rsidRDefault="00A7741C" w:rsidP="00BE4A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D1F73D" w14:textId="1EFD01B8" w:rsidR="00CF3D9A" w:rsidRDefault="00200DCD">
    <w:pPr>
      <w:pStyle w:val="En-tte"/>
    </w:pPr>
    <w:r w:rsidRPr="00200DCD">
      <w:rPr>
        <w:noProof/>
        <w:lang w:eastAsia="fr-FR"/>
      </w:rPr>
      <mc:AlternateContent>
        <mc:Choice Requires="wps">
          <w:drawing>
            <wp:anchor distT="0" distB="0" distL="114300" distR="114300" simplePos="0" relativeHeight="251673600" behindDoc="0" locked="0" layoutInCell="0" allowOverlap="1" wp14:anchorId="6B848609" wp14:editId="5DCB60ED">
              <wp:simplePos x="0" y="0"/>
              <wp:positionH relativeFrom="page">
                <wp:posOffset>-422910</wp:posOffset>
              </wp:positionH>
              <wp:positionV relativeFrom="topMargin">
                <wp:posOffset>423545</wp:posOffset>
              </wp:positionV>
              <wp:extent cx="914400" cy="170815"/>
              <wp:effectExtent l="0" t="0" r="0" b="635"/>
              <wp:wrapNone/>
              <wp:docPr id="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70815"/>
                      </a:xfrm>
                      <a:prstGeom prst="rect">
                        <a:avLst/>
                      </a:prstGeom>
                      <a:solidFill>
                        <a:srgbClr val="026D8E"/>
                      </a:solidFill>
                      <a:ln>
                        <a:noFill/>
                      </a:ln>
                    </wps:spPr>
                    <wps:txbx>
                      <w:txbxContent>
                        <w:p w14:paraId="4DD16E75" w14:textId="77777777" w:rsidR="00200DCD" w:rsidRPr="00BD656F" w:rsidRDefault="00200DCD" w:rsidP="00200DCD">
                          <w:pPr>
                            <w:spacing w:after="0" w:line="240" w:lineRule="auto"/>
                            <w:rPr>
                              <w:color w:val="E73037"/>
                            </w:rPr>
                          </w:pPr>
                        </w:p>
                      </w:txbxContent>
                    </wps:txbx>
                    <wps:bodyPr rot="0" vert="horz" wrap="square" lIns="91440" tIns="0" rIns="91440" bIns="0" anchor="ctr" anchorCtr="0" upright="1">
                      <a:spAutoFit/>
                    </wps:bodyPr>
                  </wps:wsp>
                </a:graphicData>
              </a:graphic>
              <wp14:sizeRelH relativeFrom="leftMargin">
                <wp14:pctWidth>100000</wp14:pctWidth>
              </wp14:sizeRelH>
              <wp14:sizeRelV relativeFrom="page">
                <wp14:pctHeight>0</wp14:pctHeight>
              </wp14:sizeRelV>
            </wp:anchor>
          </w:drawing>
        </mc:Choice>
        <mc:Fallback>
          <w:pict>
            <v:shapetype w14:anchorId="6B848609" id="_x0000_t202" coordsize="21600,21600" o:spt="202" path="m,l,21600r21600,l21600,xe">
              <v:stroke joinstyle="miter"/>
              <v:path gradientshapeok="t" o:connecttype="rect"/>
            </v:shapetype>
            <v:shape id="Zone de texte 2" o:spid="_x0000_s1026" type="#_x0000_t202" style="position:absolute;margin-left:-33.3pt;margin-top:33.35pt;width:1in;height:13.45pt;z-index:251673600;visibility:visible;mso-wrap-style:square;mso-width-percent:1000;mso-height-percent:0;mso-wrap-distance-left:9pt;mso-wrap-distance-top:0;mso-wrap-distance-right:9pt;mso-wrap-distance-bottom:0;mso-position-horizontal:absolute;mso-position-horizontal-relative:page;mso-position-vertical:absolute;mso-position-vertical-relative:top-margin-area;mso-width-percent:1000;mso-height-percent:0;mso-width-relative:lef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" o:allowincell="f" fillcolor="#026d8e" stroked="f">
              <v:textbox style="mso-fit-shape-to-text:t" inset=",0,,0">
                <w:txbxContent>
                  <w:p w14:paraId="4DD16E75" w14:textId="77777777" w:rsidR="00200DCD" w:rsidRPr="00BD656F" w:rsidRDefault="00200DCD" w:rsidP="00200DCD">
                    <w:pPr>
                      <w:spacing w:after="0" w:line="240" w:lineRule="auto"/>
                      <w:rPr>
                        <w:color w:val="E73037"/>
                      </w:rPr>
                    </w:pPr>
                  </w:p>
                </w:txbxContent>
              </v:textbox>
              <w10:wrap anchorx="page" anchory="margin"/>
            </v:shape>
          </w:pict>
        </mc:Fallback>
      </mc:AlternateContent>
    </w:r>
    <w:r w:rsidRPr="00200DCD">
      <w:rPr>
        <w:noProof/>
        <w:lang w:eastAsia="fr-FR"/>
      </w:rPr>
      <w:drawing>
        <wp:anchor distT="0" distB="0" distL="114300" distR="114300" simplePos="0" relativeHeight="251674624" behindDoc="1" locked="0" layoutInCell="1" allowOverlap="1" wp14:anchorId="4C0AE431" wp14:editId="4D58AC00">
          <wp:simplePos x="0" y="0"/>
          <wp:positionH relativeFrom="column">
            <wp:posOffset>-262255</wp:posOffset>
          </wp:positionH>
          <wp:positionV relativeFrom="paragraph">
            <wp:posOffset>-122670</wp:posOffset>
          </wp:positionV>
          <wp:extent cx="734060" cy="280670"/>
          <wp:effectExtent l="0" t="0" r="8890" b="5080"/>
          <wp:wrapNone/>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chier 3.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34060" cy="28067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425BD2" w14:textId="288860DA" w:rsidR="00BE4AE7" w:rsidRDefault="00282CE6">
    <w:pPr>
      <w:pStyle w:val="En-tte"/>
    </w:pPr>
    <w:r>
      <w:rPr>
        <w:noProof/>
        <w:lang w:eastAsia="fr-FR"/>
      </w:rPr>
      <w:drawing>
        <wp:anchor distT="0" distB="0" distL="114300" distR="114300" simplePos="0" relativeHeight="251671552" behindDoc="1" locked="0" layoutInCell="1" allowOverlap="1" wp14:anchorId="14208E01" wp14:editId="201E7CD1">
          <wp:simplePos x="0" y="0"/>
          <wp:positionH relativeFrom="column">
            <wp:posOffset>-276225</wp:posOffset>
          </wp:positionH>
          <wp:positionV relativeFrom="paragraph">
            <wp:posOffset>-139065</wp:posOffset>
          </wp:positionV>
          <wp:extent cx="734400" cy="280800"/>
          <wp:effectExtent l="0" t="0" r="8890" b="5080"/>
          <wp:wrapNone/>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chier 3.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34400" cy="280800"/>
                  </a:xfrm>
                  <a:prstGeom prst="rect">
                    <a:avLst/>
                  </a:prstGeom>
                </pic:spPr>
              </pic:pic>
            </a:graphicData>
          </a:graphic>
          <wp14:sizeRelH relativeFrom="margin">
            <wp14:pctWidth>0</wp14:pctWidth>
          </wp14:sizeRelH>
          <wp14:sizeRelV relativeFrom="margin">
            <wp14:pctHeight>0</wp14:pctHeight>
          </wp14:sizeRelV>
        </wp:anchor>
      </w:drawing>
    </w:r>
    <w:r>
      <w:rPr>
        <w:noProof/>
        <w:lang w:eastAsia="fr-FR"/>
      </w:rPr>
      <mc:AlternateContent>
        <mc:Choice Requires="wps">
          <w:drawing>
            <wp:anchor distT="0" distB="0" distL="114300" distR="114300" simplePos="0" relativeHeight="251663360" behindDoc="0" locked="0" layoutInCell="0" allowOverlap="1" wp14:anchorId="58407233" wp14:editId="0FA64C6D">
              <wp:simplePos x="0" y="0"/>
              <wp:positionH relativeFrom="margin">
                <wp:posOffset>871855</wp:posOffset>
              </wp:positionH>
              <wp:positionV relativeFrom="topMargin">
                <wp:posOffset>80645</wp:posOffset>
              </wp:positionV>
              <wp:extent cx="942975" cy="323850"/>
              <wp:effectExtent l="0" t="0" r="0" b="0"/>
              <wp:wrapNone/>
              <wp:docPr id="218" name="Zone de texte 2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2975" cy="32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0C470A" w14:textId="017D4B09" w:rsidR="00BE4AE7" w:rsidRDefault="00BE4AE7" w:rsidP="00BD656F">
                          <w:pPr>
                            <w:spacing w:after="0" w:line="240" w:lineRule="auto"/>
                          </w:pPr>
                        </w:p>
                      </w:txbxContent>
                    </wps:txbx>
                    <wps:bodyPr rot="0" vert="horz" wrap="square" lIns="91440" tIns="0" rIns="91440" bIns="0" anchor="ctr" anchorCtr="0" upright="1">
                      <a:noAutofit/>
                    </wps:bodyPr>
                  </wps:wsp>
                </a:graphicData>
              </a:graphic>
              <wp14:sizeRelH relativeFrom="margin">
                <wp14:pctWidth>0</wp14:pctWidth>
              </wp14:sizeRelH>
              <wp14:sizeRelV relativeFrom="page">
                <wp14:pctHeight>0</wp14:pctHeight>
              </wp14:sizeRelV>
            </wp:anchor>
          </w:drawing>
        </mc:Choice>
        <mc:Fallback>
          <w:pict>
            <v:shapetype w14:anchorId="58407233" id="_x0000_t202" coordsize="21600,21600" o:spt="202" path="m,l,21600r21600,l21600,xe">
              <v:stroke joinstyle="miter"/>
              <v:path gradientshapeok="t" o:connecttype="rect"/>
            </v:shapetype>
            <v:shape id="Zone de texte 218" o:spid="_x0000_s1027" type="#_x0000_t202" style="position:absolute;margin-left:68.65pt;margin-top:6.35pt;width:74.25pt;height:25.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op-margin-area;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" o:allowincell="f" filled="f" stroked="f">
              <v:textbox inset=",0,,0">
                <w:txbxContent>
                  <w:p w14:paraId="5E0C470A" w14:textId="017D4B09" w:rsidR="00BE4AE7" w:rsidRDefault="00BE4AE7" w:rsidP="00BD656F">
                    <w:pPr>
                      <w:spacing w:after="0" w:line="240" w:lineRule="auto"/>
                    </w:pPr>
                  </w:p>
                </w:txbxContent>
              </v:textbox>
              <w10:wrap anchorx="margin" anchory="margin"/>
            </v:shape>
          </w:pict>
        </mc:Fallback>
      </mc:AlternateContent>
    </w:r>
    <w:r w:rsidR="00BD656F">
      <w:rPr>
        <w:noProof/>
        <w:lang w:eastAsia="fr-FR"/>
      </w:rPr>
      <mc:AlternateContent>
        <mc:Choice Requires="wps">
          <w:drawing>
            <wp:anchor distT="0" distB="0" distL="114300" distR="114300" simplePos="0" relativeHeight="251652096" behindDoc="0" locked="0" layoutInCell="0" allowOverlap="1" wp14:anchorId="697CEA63" wp14:editId="136459AF">
              <wp:simplePos x="0" y="0"/>
              <wp:positionH relativeFrom="page">
                <wp:posOffset>-428625</wp:posOffset>
              </wp:positionH>
              <wp:positionV relativeFrom="topMargin">
                <wp:posOffset>421640</wp:posOffset>
              </wp:positionV>
              <wp:extent cx="914400" cy="170815"/>
              <wp:effectExtent l="0" t="0" r="0" b="635"/>
              <wp:wrapNone/>
              <wp:docPr id="219" name="Zone de texte 2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70815"/>
                      </a:xfrm>
                      <a:prstGeom prst="rect">
                        <a:avLst/>
                      </a:prstGeom>
                      <a:solidFill>
                        <a:srgbClr val="026D8E"/>
                      </a:solidFill>
                      <a:ln>
                        <a:noFill/>
                      </a:ln>
                    </wps:spPr>
                    <wps:txbx>
                      <w:txbxContent>
                        <w:p w14:paraId="180E36C2" w14:textId="062D50F4" w:rsidR="00BE4AE7" w:rsidRPr="00BD656F" w:rsidRDefault="00BE4AE7" w:rsidP="00BD656F">
                          <w:pPr>
                            <w:spacing w:after="0" w:line="240" w:lineRule="auto"/>
                            <w:rPr>
                              <w:color w:val="E73037"/>
                            </w:rPr>
                          </w:pPr>
                        </w:p>
                      </w:txbxContent>
                    </wps:txbx>
                    <wps:bodyPr rot="0" vert="horz" wrap="square" lIns="91440" tIns="0" rIns="91440" bIns="0" anchor="ctr" anchorCtr="0" upright="1">
                      <a:spAutoFit/>
                    </wps:bodyPr>
                  </wps:wsp>
                </a:graphicData>
              </a:graphic>
              <wp14:sizeRelH relativeFrom="leftMargin">
                <wp14:pctWidth>100000</wp14:pctWidth>
              </wp14:sizeRelH>
              <wp14:sizeRelV relativeFrom="page">
                <wp14:pctHeight>0</wp14:pctHeight>
              </wp14:sizeRelV>
            </wp:anchor>
          </w:drawing>
        </mc:Choice>
        <mc:Fallback>
          <w:pict>
            <v:shape w14:anchorId="697CEA63" id="Zone de texte 219" o:spid="_x0000_s1028" type="#_x0000_t202" style="position:absolute;margin-left:-33.75pt;margin-top:33.2pt;width:1in;height:13.45pt;z-index:251652096;visibility:visible;mso-wrap-style:square;mso-width-percent:1000;mso-height-percent:0;mso-wrap-distance-left:9pt;mso-wrap-distance-top:0;mso-wrap-distance-right:9pt;mso-wrap-distance-bottom:0;mso-position-horizontal:absolute;mso-position-horizontal-relative:page;mso-position-vertical:absolute;mso-position-vertical-relative:top-margin-area;mso-width-percent:1000;mso-height-percent:0;mso-width-relative:lef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" o:allowincell="f" fillcolor="#026d8e" stroked="f">
              <v:textbox style="mso-fit-shape-to-text:t" inset=",0,,0">
                <w:txbxContent>
                  <w:p w14:paraId="180E36C2" w14:textId="062D50F4" w:rsidR="00BE4AE7" w:rsidRPr="00BD656F" w:rsidRDefault="00BE4AE7" w:rsidP="00BD656F">
                    <w:pPr>
                      <w:spacing w:after="0" w:line="240" w:lineRule="auto"/>
                      <w:rPr>
                        <w:color w:val="E73037"/>
                      </w:rPr>
                    </w:pPr>
                  </w:p>
                </w:txbxContent>
              </v:textbox>
              <w10:wrap anchorx="page"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F"/>
    <w:multiLevelType w:val="singleLevel"/>
    <w:tmpl w:val="2FF6601A"/>
    <w:lvl w:ilvl="0">
      <w:start w:val="1"/>
      <w:numFmt w:val="decimal"/>
      <w:pStyle w:val="Listenumros2"/>
      <w:lvlText w:val="%1."/>
      <w:lvlJc w:val="left"/>
      <w:pPr>
        <w:tabs>
          <w:tab w:val="num" w:pos="643"/>
        </w:tabs>
        <w:ind w:left="643" w:hanging="360"/>
      </w:pPr>
    </w:lvl>
  </w:abstractNum>
  <w:abstractNum w:abstractNumId="1" w15:restartNumberingAfterBreak="0">
    <w:nsid w:val="0ADA720E"/>
    <w:multiLevelType w:val="hybridMultilevel"/>
    <w:tmpl w:val="0658B3D6"/>
    <w:lvl w:ilvl="0" w:tplc="5E7C2BA6">
      <w:start w:val="1"/>
      <w:numFmt w:val="bullet"/>
      <w:lvlText w:val=""/>
      <w:lvlJc w:val="left"/>
      <w:pPr>
        <w:ind w:left="720" w:hanging="360"/>
      </w:pPr>
      <w:rPr>
        <w:rFonts w:ascii="Symbol" w:hAnsi="Symbol" w:hint="default"/>
        <w:color w:val="E73037"/>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D826EF0"/>
    <w:multiLevelType w:val="hybridMultilevel"/>
    <w:tmpl w:val="3670BACC"/>
    <w:lvl w:ilvl="0" w:tplc="5E7C2BA6">
      <w:start w:val="1"/>
      <w:numFmt w:val="bullet"/>
      <w:lvlText w:val=""/>
      <w:lvlJc w:val="left"/>
      <w:pPr>
        <w:ind w:left="720" w:hanging="360"/>
      </w:pPr>
      <w:rPr>
        <w:rFonts w:ascii="Symbol" w:hAnsi="Symbol" w:hint="default"/>
        <w:color w:val="E73037"/>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4315378"/>
    <w:multiLevelType w:val="hybridMultilevel"/>
    <w:tmpl w:val="A336BC3E"/>
    <w:lvl w:ilvl="0" w:tplc="5E7C2BA6">
      <w:start w:val="1"/>
      <w:numFmt w:val="bullet"/>
      <w:lvlText w:val=""/>
      <w:lvlJc w:val="left"/>
      <w:pPr>
        <w:ind w:left="720" w:hanging="360"/>
      </w:pPr>
      <w:rPr>
        <w:rFonts w:ascii="Symbol" w:hAnsi="Symbol" w:hint="default"/>
        <w:color w:val="E73037"/>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48B4A5B"/>
    <w:multiLevelType w:val="hybridMultilevel"/>
    <w:tmpl w:val="1634270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A7F2C62"/>
    <w:multiLevelType w:val="hybridMultilevel"/>
    <w:tmpl w:val="E090796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A9A4723"/>
    <w:multiLevelType w:val="hybridMultilevel"/>
    <w:tmpl w:val="6092510A"/>
    <w:lvl w:ilvl="0" w:tplc="5E7C2BA6">
      <w:start w:val="1"/>
      <w:numFmt w:val="bullet"/>
      <w:lvlText w:val=""/>
      <w:lvlJc w:val="left"/>
      <w:pPr>
        <w:ind w:left="720" w:hanging="360"/>
      </w:pPr>
      <w:rPr>
        <w:rFonts w:ascii="Symbol" w:hAnsi="Symbol" w:hint="default"/>
        <w:color w:val="E73037"/>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77C7783"/>
    <w:multiLevelType w:val="hybridMultilevel"/>
    <w:tmpl w:val="8EA4B37E"/>
    <w:lvl w:ilvl="0" w:tplc="5E7C2BA6">
      <w:start w:val="1"/>
      <w:numFmt w:val="bullet"/>
      <w:lvlText w:val=""/>
      <w:lvlJc w:val="left"/>
      <w:pPr>
        <w:ind w:left="720" w:hanging="360"/>
      </w:pPr>
      <w:rPr>
        <w:rFonts w:ascii="Symbol" w:hAnsi="Symbol" w:hint="default"/>
        <w:color w:val="E73037"/>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8F3356F"/>
    <w:multiLevelType w:val="hybridMultilevel"/>
    <w:tmpl w:val="4A782C4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9D03853"/>
    <w:multiLevelType w:val="hybridMultilevel"/>
    <w:tmpl w:val="B7C81160"/>
    <w:lvl w:ilvl="0" w:tplc="22AC8D56">
      <w:numFmt w:val="bullet"/>
      <w:lvlText w:val="-"/>
      <w:lvlJc w:val="left"/>
      <w:pPr>
        <w:ind w:left="1065" w:hanging="705"/>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EFD63EE"/>
    <w:multiLevelType w:val="hybridMultilevel"/>
    <w:tmpl w:val="7AA48068"/>
    <w:lvl w:ilvl="0" w:tplc="5E7C2BA6">
      <w:start w:val="1"/>
      <w:numFmt w:val="bullet"/>
      <w:lvlText w:val=""/>
      <w:lvlJc w:val="left"/>
      <w:pPr>
        <w:ind w:left="720" w:hanging="360"/>
      </w:pPr>
      <w:rPr>
        <w:rFonts w:ascii="Symbol" w:hAnsi="Symbol" w:hint="default"/>
        <w:color w:val="E73037"/>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09D0529"/>
    <w:multiLevelType w:val="hybridMultilevel"/>
    <w:tmpl w:val="32BCA14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56512B45"/>
    <w:multiLevelType w:val="hybridMultilevel"/>
    <w:tmpl w:val="F35259B8"/>
    <w:lvl w:ilvl="0" w:tplc="5E7C2BA6">
      <w:start w:val="1"/>
      <w:numFmt w:val="bullet"/>
      <w:lvlText w:val=""/>
      <w:lvlJc w:val="left"/>
      <w:pPr>
        <w:ind w:left="720" w:hanging="360"/>
      </w:pPr>
      <w:rPr>
        <w:rFonts w:ascii="Symbol" w:hAnsi="Symbol" w:hint="default"/>
        <w:color w:val="E73037"/>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5C72523F"/>
    <w:multiLevelType w:val="hybridMultilevel"/>
    <w:tmpl w:val="23CA8204"/>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4" w15:restartNumberingAfterBreak="0">
    <w:nsid w:val="5EA811F0"/>
    <w:multiLevelType w:val="hybridMultilevel"/>
    <w:tmpl w:val="076E727E"/>
    <w:lvl w:ilvl="0" w:tplc="5E7C2BA6">
      <w:start w:val="1"/>
      <w:numFmt w:val="bullet"/>
      <w:lvlText w:val=""/>
      <w:lvlJc w:val="left"/>
      <w:pPr>
        <w:ind w:left="720" w:hanging="360"/>
      </w:pPr>
      <w:rPr>
        <w:rFonts w:ascii="Symbol" w:hAnsi="Symbol" w:hint="default"/>
        <w:color w:val="E73037"/>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61CE719C"/>
    <w:multiLevelType w:val="hybridMultilevel"/>
    <w:tmpl w:val="BAF86B5A"/>
    <w:lvl w:ilvl="0" w:tplc="E0CCB626">
      <w:start w:val="1"/>
      <w:numFmt w:val="decimal"/>
      <w:lvlText w:val="%1-"/>
      <w:lvlJc w:val="left"/>
      <w:pPr>
        <w:ind w:left="720" w:hanging="360"/>
      </w:pPr>
      <w:rPr>
        <w:rFonts w:asciiTheme="minorHAnsi" w:eastAsiaTheme="minorHAnsi" w:hAnsiTheme="minorHAnsi" w:cstheme="minorBidi"/>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6A336ED8"/>
    <w:multiLevelType w:val="hybridMultilevel"/>
    <w:tmpl w:val="48FC40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6F224CF2"/>
    <w:multiLevelType w:val="hybridMultilevel"/>
    <w:tmpl w:val="511AAA2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70466A6B"/>
    <w:multiLevelType w:val="hybridMultilevel"/>
    <w:tmpl w:val="C430152C"/>
    <w:lvl w:ilvl="0" w:tplc="8CE0F3C2">
      <w:start w:val="1"/>
      <w:numFmt w:val="decimal"/>
      <w:pStyle w:val="Titre1"/>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769A3AB8"/>
    <w:multiLevelType w:val="hybridMultilevel"/>
    <w:tmpl w:val="AEB4DB0E"/>
    <w:lvl w:ilvl="0" w:tplc="9CB098C2">
      <w:start w:val="1"/>
      <w:numFmt w:val="bullet"/>
      <w:lvlText w:val=""/>
      <w:lvlJc w:val="left"/>
      <w:pPr>
        <w:ind w:left="720" w:hanging="360"/>
      </w:pPr>
      <w:rPr>
        <w:rFonts w:ascii="Symbol" w:hAnsi="Symbol" w:hint="default"/>
        <w:color w:val="F38C25"/>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769A3DD1"/>
    <w:multiLevelType w:val="hybridMultilevel"/>
    <w:tmpl w:val="47A26AC2"/>
    <w:lvl w:ilvl="0" w:tplc="5E7C2BA6">
      <w:start w:val="1"/>
      <w:numFmt w:val="bullet"/>
      <w:lvlText w:val=""/>
      <w:lvlJc w:val="left"/>
      <w:pPr>
        <w:ind w:left="720" w:hanging="360"/>
      </w:pPr>
      <w:rPr>
        <w:rFonts w:ascii="Symbol" w:hAnsi="Symbol" w:hint="default"/>
        <w:color w:val="E73037"/>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7AFC6AEF"/>
    <w:multiLevelType w:val="hybridMultilevel"/>
    <w:tmpl w:val="2476394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7C5A5DA2"/>
    <w:multiLevelType w:val="hybridMultilevel"/>
    <w:tmpl w:val="A9E09B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7EBA0706"/>
    <w:multiLevelType w:val="hybridMultilevel"/>
    <w:tmpl w:val="591AD71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20"/>
  </w:num>
  <w:num w:numId="2">
    <w:abstractNumId w:val="18"/>
  </w:num>
  <w:num w:numId="3">
    <w:abstractNumId w:val="3"/>
  </w:num>
  <w:num w:numId="4">
    <w:abstractNumId w:val="15"/>
  </w:num>
  <w:num w:numId="5">
    <w:abstractNumId w:val="1"/>
  </w:num>
  <w:num w:numId="6">
    <w:abstractNumId w:val="7"/>
  </w:num>
  <w:num w:numId="7">
    <w:abstractNumId w:val="12"/>
  </w:num>
  <w:num w:numId="8">
    <w:abstractNumId w:val="14"/>
  </w:num>
  <w:num w:numId="9">
    <w:abstractNumId w:val="19"/>
  </w:num>
  <w:num w:numId="10">
    <w:abstractNumId w:val="10"/>
  </w:num>
  <w:num w:numId="11">
    <w:abstractNumId w:val="2"/>
  </w:num>
  <w:num w:numId="12">
    <w:abstractNumId w:val="6"/>
  </w:num>
  <w:num w:numId="13">
    <w:abstractNumId w:val="13"/>
  </w:num>
  <w:num w:numId="14">
    <w:abstractNumId w:val="9"/>
  </w:num>
  <w:num w:numId="15">
    <w:abstractNumId w:val="0"/>
  </w:num>
  <w:num w:numId="16">
    <w:abstractNumId w:val="23"/>
  </w:num>
  <w:num w:numId="17">
    <w:abstractNumId w:val="16"/>
  </w:num>
  <w:num w:numId="18">
    <w:abstractNumId w:val="4"/>
  </w:num>
  <w:num w:numId="19">
    <w:abstractNumId w:val="17"/>
  </w:num>
  <w:num w:numId="20">
    <w:abstractNumId w:val="21"/>
  </w:num>
  <w:num w:numId="21">
    <w:abstractNumId w:val="5"/>
  </w:num>
  <w:num w:numId="22">
    <w:abstractNumId w:val="8"/>
  </w:num>
  <w:num w:numId="23">
    <w:abstractNumId w:val="11"/>
  </w:num>
  <w:num w:numId="24">
    <w:abstractNumId w:val="2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6"/>
  <w:activeWritingStyle w:appName="MSWord" w:lang="fr-FR" w:vendorID="64" w:dllVersion="131078" w:nlCheck="1" w:checkStyle="0"/>
  <w:activeWritingStyle w:appName="MSWord" w:lang="en-US" w:vendorID="64" w:dllVersion="131078" w:nlCheck="1" w:checkStyle="1"/>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7CCF"/>
    <w:rsid w:val="0000178A"/>
    <w:rsid w:val="00001C29"/>
    <w:rsid w:val="00002B7A"/>
    <w:rsid w:val="000034B6"/>
    <w:rsid w:val="0000356A"/>
    <w:rsid w:val="00003645"/>
    <w:rsid w:val="000036E8"/>
    <w:rsid w:val="00004087"/>
    <w:rsid w:val="00004160"/>
    <w:rsid w:val="00004EDF"/>
    <w:rsid w:val="00005157"/>
    <w:rsid w:val="000056D1"/>
    <w:rsid w:val="00005A91"/>
    <w:rsid w:val="000065C6"/>
    <w:rsid w:val="00006801"/>
    <w:rsid w:val="00006862"/>
    <w:rsid w:val="000076D5"/>
    <w:rsid w:val="00007AF7"/>
    <w:rsid w:val="000108E6"/>
    <w:rsid w:val="00010BCF"/>
    <w:rsid w:val="000118BA"/>
    <w:rsid w:val="00011F5D"/>
    <w:rsid w:val="00012A04"/>
    <w:rsid w:val="000138C1"/>
    <w:rsid w:val="00014D1A"/>
    <w:rsid w:val="00016664"/>
    <w:rsid w:val="0001720F"/>
    <w:rsid w:val="00017609"/>
    <w:rsid w:val="00017D7D"/>
    <w:rsid w:val="00017E54"/>
    <w:rsid w:val="00017F64"/>
    <w:rsid w:val="00020528"/>
    <w:rsid w:val="00020ECC"/>
    <w:rsid w:val="00020FFB"/>
    <w:rsid w:val="00022CB1"/>
    <w:rsid w:val="0002399A"/>
    <w:rsid w:val="00023F5A"/>
    <w:rsid w:val="000242AA"/>
    <w:rsid w:val="000245A6"/>
    <w:rsid w:val="000249F0"/>
    <w:rsid w:val="000266DD"/>
    <w:rsid w:val="00026EAD"/>
    <w:rsid w:val="00027518"/>
    <w:rsid w:val="00027C2C"/>
    <w:rsid w:val="00030802"/>
    <w:rsid w:val="00030B88"/>
    <w:rsid w:val="00030DA7"/>
    <w:rsid w:val="00030F0F"/>
    <w:rsid w:val="0003241E"/>
    <w:rsid w:val="00032950"/>
    <w:rsid w:val="00032CC2"/>
    <w:rsid w:val="000337CC"/>
    <w:rsid w:val="00033E99"/>
    <w:rsid w:val="00033FA1"/>
    <w:rsid w:val="000347A2"/>
    <w:rsid w:val="00034F82"/>
    <w:rsid w:val="00035415"/>
    <w:rsid w:val="0003578C"/>
    <w:rsid w:val="000357BB"/>
    <w:rsid w:val="00036512"/>
    <w:rsid w:val="00037432"/>
    <w:rsid w:val="00040571"/>
    <w:rsid w:val="00040A6B"/>
    <w:rsid w:val="000414C9"/>
    <w:rsid w:val="00042AF2"/>
    <w:rsid w:val="00044C01"/>
    <w:rsid w:val="00044E91"/>
    <w:rsid w:val="00044FBB"/>
    <w:rsid w:val="000455CF"/>
    <w:rsid w:val="00045AD3"/>
    <w:rsid w:val="00046437"/>
    <w:rsid w:val="00046C9D"/>
    <w:rsid w:val="00047309"/>
    <w:rsid w:val="000474D8"/>
    <w:rsid w:val="00047B65"/>
    <w:rsid w:val="00047EFB"/>
    <w:rsid w:val="0005039E"/>
    <w:rsid w:val="00050427"/>
    <w:rsid w:val="00050CB5"/>
    <w:rsid w:val="00050DC2"/>
    <w:rsid w:val="00052528"/>
    <w:rsid w:val="0005263B"/>
    <w:rsid w:val="000546E4"/>
    <w:rsid w:val="000547DB"/>
    <w:rsid w:val="00054D04"/>
    <w:rsid w:val="00054D84"/>
    <w:rsid w:val="00055A80"/>
    <w:rsid w:val="000578AA"/>
    <w:rsid w:val="00057B93"/>
    <w:rsid w:val="000600FC"/>
    <w:rsid w:val="000605E6"/>
    <w:rsid w:val="00060F34"/>
    <w:rsid w:val="00061A28"/>
    <w:rsid w:val="00063160"/>
    <w:rsid w:val="000638F9"/>
    <w:rsid w:val="0006407C"/>
    <w:rsid w:val="000647E8"/>
    <w:rsid w:val="00064E02"/>
    <w:rsid w:val="000666BD"/>
    <w:rsid w:val="00066906"/>
    <w:rsid w:val="00066D0A"/>
    <w:rsid w:val="00067703"/>
    <w:rsid w:val="000678DE"/>
    <w:rsid w:val="0007027A"/>
    <w:rsid w:val="0007167D"/>
    <w:rsid w:val="00071BDF"/>
    <w:rsid w:val="00075135"/>
    <w:rsid w:val="000755A1"/>
    <w:rsid w:val="00075624"/>
    <w:rsid w:val="00075631"/>
    <w:rsid w:val="0007594C"/>
    <w:rsid w:val="00075D41"/>
    <w:rsid w:val="00076062"/>
    <w:rsid w:val="00076261"/>
    <w:rsid w:val="00076ABC"/>
    <w:rsid w:val="000778B3"/>
    <w:rsid w:val="00077BFD"/>
    <w:rsid w:val="0008093C"/>
    <w:rsid w:val="000811E3"/>
    <w:rsid w:val="000815AB"/>
    <w:rsid w:val="00081CBE"/>
    <w:rsid w:val="00082D46"/>
    <w:rsid w:val="00082F1F"/>
    <w:rsid w:val="00083755"/>
    <w:rsid w:val="00084219"/>
    <w:rsid w:val="00084C12"/>
    <w:rsid w:val="00084F50"/>
    <w:rsid w:val="00085160"/>
    <w:rsid w:val="00085C79"/>
    <w:rsid w:val="0008696D"/>
    <w:rsid w:val="00086A59"/>
    <w:rsid w:val="00086C03"/>
    <w:rsid w:val="00086C37"/>
    <w:rsid w:val="00087713"/>
    <w:rsid w:val="00087F8E"/>
    <w:rsid w:val="00090C7C"/>
    <w:rsid w:val="00091309"/>
    <w:rsid w:val="00091FAB"/>
    <w:rsid w:val="000926E1"/>
    <w:rsid w:val="00092F7E"/>
    <w:rsid w:val="00093433"/>
    <w:rsid w:val="0009421E"/>
    <w:rsid w:val="00094DAA"/>
    <w:rsid w:val="00094EC5"/>
    <w:rsid w:val="00095224"/>
    <w:rsid w:val="000956B2"/>
    <w:rsid w:val="00096C95"/>
    <w:rsid w:val="00096CCA"/>
    <w:rsid w:val="000976FF"/>
    <w:rsid w:val="00097851"/>
    <w:rsid w:val="00097F00"/>
    <w:rsid w:val="000A0FE3"/>
    <w:rsid w:val="000A1C02"/>
    <w:rsid w:val="000A1E2D"/>
    <w:rsid w:val="000A2641"/>
    <w:rsid w:val="000A29B1"/>
    <w:rsid w:val="000A29DA"/>
    <w:rsid w:val="000A2B10"/>
    <w:rsid w:val="000A2E66"/>
    <w:rsid w:val="000A37FB"/>
    <w:rsid w:val="000A437F"/>
    <w:rsid w:val="000A4763"/>
    <w:rsid w:val="000A4F15"/>
    <w:rsid w:val="000A597B"/>
    <w:rsid w:val="000A5A90"/>
    <w:rsid w:val="000A5CEE"/>
    <w:rsid w:val="000A6A9C"/>
    <w:rsid w:val="000A7045"/>
    <w:rsid w:val="000A78C9"/>
    <w:rsid w:val="000B0176"/>
    <w:rsid w:val="000B0178"/>
    <w:rsid w:val="000B06C1"/>
    <w:rsid w:val="000B06DC"/>
    <w:rsid w:val="000B0FE5"/>
    <w:rsid w:val="000B1A22"/>
    <w:rsid w:val="000B1E1B"/>
    <w:rsid w:val="000B2FAA"/>
    <w:rsid w:val="000B3653"/>
    <w:rsid w:val="000B3772"/>
    <w:rsid w:val="000B3A4F"/>
    <w:rsid w:val="000B4600"/>
    <w:rsid w:val="000B4C96"/>
    <w:rsid w:val="000B5E73"/>
    <w:rsid w:val="000B7CCF"/>
    <w:rsid w:val="000C0906"/>
    <w:rsid w:val="000C0AAC"/>
    <w:rsid w:val="000C0E1D"/>
    <w:rsid w:val="000C1D22"/>
    <w:rsid w:val="000C2331"/>
    <w:rsid w:val="000C2614"/>
    <w:rsid w:val="000C278C"/>
    <w:rsid w:val="000C3446"/>
    <w:rsid w:val="000C3A1D"/>
    <w:rsid w:val="000C3CC0"/>
    <w:rsid w:val="000C3EA7"/>
    <w:rsid w:val="000C4554"/>
    <w:rsid w:val="000C48EA"/>
    <w:rsid w:val="000C515A"/>
    <w:rsid w:val="000C62EF"/>
    <w:rsid w:val="000C6FFC"/>
    <w:rsid w:val="000D0726"/>
    <w:rsid w:val="000D10C9"/>
    <w:rsid w:val="000D16EA"/>
    <w:rsid w:val="000D1EDE"/>
    <w:rsid w:val="000D1F45"/>
    <w:rsid w:val="000D2A28"/>
    <w:rsid w:val="000D3760"/>
    <w:rsid w:val="000D3BE8"/>
    <w:rsid w:val="000D3F64"/>
    <w:rsid w:val="000D42FD"/>
    <w:rsid w:val="000D44F9"/>
    <w:rsid w:val="000D48EB"/>
    <w:rsid w:val="000D4990"/>
    <w:rsid w:val="000D5157"/>
    <w:rsid w:val="000D5A4E"/>
    <w:rsid w:val="000D5AAB"/>
    <w:rsid w:val="000D60B2"/>
    <w:rsid w:val="000D704E"/>
    <w:rsid w:val="000D707F"/>
    <w:rsid w:val="000D7417"/>
    <w:rsid w:val="000E20CC"/>
    <w:rsid w:val="000E2929"/>
    <w:rsid w:val="000E2BBF"/>
    <w:rsid w:val="000E3781"/>
    <w:rsid w:val="000E3DC7"/>
    <w:rsid w:val="000E4201"/>
    <w:rsid w:val="000E521C"/>
    <w:rsid w:val="000E5350"/>
    <w:rsid w:val="000E5411"/>
    <w:rsid w:val="000E55ED"/>
    <w:rsid w:val="000E5FC5"/>
    <w:rsid w:val="000E60A7"/>
    <w:rsid w:val="000E6E67"/>
    <w:rsid w:val="000E7C3B"/>
    <w:rsid w:val="000F1387"/>
    <w:rsid w:val="000F1483"/>
    <w:rsid w:val="000F3A53"/>
    <w:rsid w:val="000F3F98"/>
    <w:rsid w:val="000F4751"/>
    <w:rsid w:val="000F4A95"/>
    <w:rsid w:val="000F5841"/>
    <w:rsid w:val="000F63C2"/>
    <w:rsid w:val="000F6D89"/>
    <w:rsid w:val="000F7032"/>
    <w:rsid w:val="000F703F"/>
    <w:rsid w:val="000F7819"/>
    <w:rsid w:val="000F7975"/>
    <w:rsid w:val="00100182"/>
    <w:rsid w:val="001001AA"/>
    <w:rsid w:val="00100462"/>
    <w:rsid w:val="00100A27"/>
    <w:rsid w:val="00100F00"/>
    <w:rsid w:val="001017FF"/>
    <w:rsid w:val="0010197E"/>
    <w:rsid w:val="00103CE8"/>
    <w:rsid w:val="001043E5"/>
    <w:rsid w:val="00104A2B"/>
    <w:rsid w:val="001052E2"/>
    <w:rsid w:val="001055EF"/>
    <w:rsid w:val="001059DB"/>
    <w:rsid w:val="00105C9B"/>
    <w:rsid w:val="00105D1E"/>
    <w:rsid w:val="00105E9E"/>
    <w:rsid w:val="0010646B"/>
    <w:rsid w:val="00106B3C"/>
    <w:rsid w:val="00106CD8"/>
    <w:rsid w:val="001074D4"/>
    <w:rsid w:val="001102F6"/>
    <w:rsid w:val="001105E5"/>
    <w:rsid w:val="00110CE8"/>
    <w:rsid w:val="001112C3"/>
    <w:rsid w:val="001117E7"/>
    <w:rsid w:val="0011197D"/>
    <w:rsid w:val="00111D02"/>
    <w:rsid w:val="00112DF0"/>
    <w:rsid w:val="00112E6D"/>
    <w:rsid w:val="001133F5"/>
    <w:rsid w:val="001143AA"/>
    <w:rsid w:val="00115417"/>
    <w:rsid w:val="00115C17"/>
    <w:rsid w:val="00115ED1"/>
    <w:rsid w:val="00116EF0"/>
    <w:rsid w:val="001207BF"/>
    <w:rsid w:val="001207D1"/>
    <w:rsid w:val="001209BD"/>
    <w:rsid w:val="00120F3C"/>
    <w:rsid w:val="00121A1E"/>
    <w:rsid w:val="00122A38"/>
    <w:rsid w:val="00122D9C"/>
    <w:rsid w:val="00122E4A"/>
    <w:rsid w:val="001236A7"/>
    <w:rsid w:val="00123FBB"/>
    <w:rsid w:val="001243E2"/>
    <w:rsid w:val="00125924"/>
    <w:rsid w:val="0012694D"/>
    <w:rsid w:val="001307BB"/>
    <w:rsid w:val="00130C56"/>
    <w:rsid w:val="0013189D"/>
    <w:rsid w:val="00131931"/>
    <w:rsid w:val="00132553"/>
    <w:rsid w:val="00132C60"/>
    <w:rsid w:val="00132D06"/>
    <w:rsid w:val="00132E97"/>
    <w:rsid w:val="001345C1"/>
    <w:rsid w:val="001347C9"/>
    <w:rsid w:val="0013499E"/>
    <w:rsid w:val="00135172"/>
    <w:rsid w:val="0013607D"/>
    <w:rsid w:val="0013635D"/>
    <w:rsid w:val="0013670F"/>
    <w:rsid w:val="001370AC"/>
    <w:rsid w:val="00137CC9"/>
    <w:rsid w:val="00140050"/>
    <w:rsid w:val="00142588"/>
    <w:rsid w:val="001428CE"/>
    <w:rsid w:val="001431C5"/>
    <w:rsid w:val="00143507"/>
    <w:rsid w:val="0014357B"/>
    <w:rsid w:val="00144176"/>
    <w:rsid w:val="0014495F"/>
    <w:rsid w:val="0014499F"/>
    <w:rsid w:val="00144A03"/>
    <w:rsid w:val="00145259"/>
    <w:rsid w:val="001466AA"/>
    <w:rsid w:val="00146AE3"/>
    <w:rsid w:val="00147136"/>
    <w:rsid w:val="00150747"/>
    <w:rsid w:val="00150F91"/>
    <w:rsid w:val="0015169A"/>
    <w:rsid w:val="001517FB"/>
    <w:rsid w:val="00151944"/>
    <w:rsid w:val="00151F0E"/>
    <w:rsid w:val="001522D9"/>
    <w:rsid w:val="00152829"/>
    <w:rsid w:val="00152A40"/>
    <w:rsid w:val="00153BF3"/>
    <w:rsid w:val="00153F71"/>
    <w:rsid w:val="00155809"/>
    <w:rsid w:val="001559FF"/>
    <w:rsid w:val="00156AB9"/>
    <w:rsid w:val="0016025C"/>
    <w:rsid w:val="0016093E"/>
    <w:rsid w:val="001617AA"/>
    <w:rsid w:val="00161AD7"/>
    <w:rsid w:val="001620B7"/>
    <w:rsid w:val="001628FA"/>
    <w:rsid w:val="00162B2E"/>
    <w:rsid w:val="0016390C"/>
    <w:rsid w:val="00163C93"/>
    <w:rsid w:val="001642EB"/>
    <w:rsid w:val="0016455A"/>
    <w:rsid w:val="00165372"/>
    <w:rsid w:val="00165FA1"/>
    <w:rsid w:val="00166502"/>
    <w:rsid w:val="0016779C"/>
    <w:rsid w:val="00170050"/>
    <w:rsid w:val="001707BC"/>
    <w:rsid w:val="001710DB"/>
    <w:rsid w:val="00171AD5"/>
    <w:rsid w:val="00171DF1"/>
    <w:rsid w:val="00171FB6"/>
    <w:rsid w:val="001727EE"/>
    <w:rsid w:val="0017332E"/>
    <w:rsid w:val="001735B5"/>
    <w:rsid w:val="00173A31"/>
    <w:rsid w:val="00173BD7"/>
    <w:rsid w:val="00173FD5"/>
    <w:rsid w:val="0017423A"/>
    <w:rsid w:val="00174B26"/>
    <w:rsid w:val="00174B3D"/>
    <w:rsid w:val="001758CB"/>
    <w:rsid w:val="00176359"/>
    <w:rsid w:val="00177527"/>
    <w:rsid w:val="00177AD9"/>
    <w:rsid w:val="00180943"/>
    <w:rsid w:val="00180C61"/>
    <w:rsid w:val="00182147"/>
    <w:rsid w:val="00182681"/>
    <w:rsid w:val="00183FC9"/>
    <w:rsid w:val="0018449C"/>
    <w:rsid w:val="00184A06"/>
    <w:rsid w:val="00184ABE"/>
    <w:rsid w:val="0018570B"/>
    <w:rsid w:val="00186830"/>
    <w:rsid w:val="001872BA"/>
    <w:rsid w:val="001874A5"/>
    <w:rsid w:val="00187836"/>
    <w:rsid w:val="0019073A"/>
    <w:rsid w:val="001907F7"/>
    <w:rsid w:val="00190B7C"/>
    <w:rsid w:val="001916C3"/>
    <w:rsid w:val="0019225E"/>
    <w:rsid w:val="00193359"/>
    <w:rsid w:val="00193999"/>
    <w:rsid w:val="00193E13"/>
    <w:rsid w:val="00193F36"/>
    <w:rsid w:val="00194FE4"/>
    <w:rsid w:val="0019501E"/>
    <w:rsid w:val="001953F4"/>
    <w:rsid w:val="00195E8B"/>
    <w:rsid w:val="0019600C"/>
    <w:rsid w:val="0019696A"/>
    <w:rsid w:val="00197914"/>
    <w:rsid w:val="001A009C"/>
    <w:rsid w:val="001A0A41"/>
    <w:rsid w:val="001A12D5"/>
    <w:rsid w:val="001A27F4"/>
    <w:rsid w:val="001A2997"/>
    <w:rsid w:val="001A2B9B"/>
    <w:rsid w:val="001A2E91"/>
    <w:rsid w:val="001A3586"/>
    <w:rsid w:val="001A361B"/>
    <w:rsid w:val="001A3D4C"/>
    <w:rsid w:val="001A3DB5"/>
    <w:rsid w:val="001A406D"/>
    <w:rsid w:val="001A4B57"/>
    <w:rsid w:val="001A62C9"/>
    <w:rsid w:val="001A63AA"/>
    <w:rsid w:val="001A6A86"/>
    <w:rsid w:val="001A6EB6"/>
    <w:rsid w:val="001A74FC"/>
    <w:rsid w:val="001B00FB"/>
    <w:rsid w:val="001B020F"/>
    <w:rsid w:val="001B083A"/>
    <w:rsid w:val="001B11FB"/>
    <w:rsid w:val="001B1479"/>
    <w:rsid w:val="001B243E"/>
    <w:rsid w:val="001B2600"/>
    <w:rsid w:val="001B2D85"/>
    <w:rsid w:val="001B2E8E"/>
    <w:rsid w:val="001B319F"/>
    <w:rsid w:val="001B3B7A"/>
    <w:rsid w:val="001B4737"/>
    <w:rsid w:val="001B477A"/>
    <w:rsid w:val="001B4D55"/>
    <w:rsid w:val="001B5A80"/>
    <w:rsid w:val="001B61C5"/>
    <w:rsid w:val="001B6306"/>
    <w:rsid w:val="001B6781"/>
    <w:rsid w:val="001B6CC7"/>
    <w:rsid w:val="001C114D"/>
    <w:rsid w:val="001C21EE"/>
    <w:rsid w:val="001C237D"/>
    <w:rsid w:val="001C24CB"/>
    <w:rsid w:val="001C2503"/>
    <w:rsid w:val="001C2B1B"/>
    <w:rsid w:val="001C34C2"/>
    <w:rsid w:val="001C3CEB"/>
    <w:rsid w:val="001C418C"/>
    <w:rsid w:val="001C45CF"/>
    <w:rsid w:val="001C494D"/>
    <w:rsid w:val="001C53DD"/>
    <w:rsid w:val="001C56E3"/>
    <w:rsid w:val="001C593F"/>
    <w:rsid w:val="001C64E2"/>
    <w:rsid w:val="001C7791"/>
    <w:rsid w:val="001D0DAF"/>
    <w:rsid w:val="001D1C41"/>
    <w:rsid w:val="001D2196"/>
    <w:rsid w:val="001D27B7"/>
    <w:rsid w:val="001D28E3"/>
    <w:rsid w:val="001D2A4D"/>
    <w:rsid w:val="001D2B81"/>
    <w:rsid w:val="001D4814"/>
    <w:rsid w:val="001D4BA5"/>
    <w:rsid w:val="001D57E3"/>
    <w:rsid w:val="001D585D"/>
    <w:rsid w:val="001D5860"/>
    <w:rsid w:val="001D5894"/>
    <w:rsid w:val="001D5955"/>
    <w:rsid w:val="001D5B57"/>
    <w:rsid w:val="001D76DB"/>
    <w:rsid w:val="001D789F"/>
    <w:rsid w:val="001D7EA8"/>
    <w:rsid w:val="001E1202"/>
    <w:rsid w:val="001E129B"/>
    <w:rsid w:val="001E15A0"/>
    <w:rsid w:val="001E1A50"/>
    <w:rsid w:val="001E1F3F"/>
    <w:rsid w:val="001E2FC0"/>
    <w:rsid w:val="001E4C49"/>
    <w:rsid w:val="001E508C"/>
    <w:rsid w:val="001E5C4B"/>
    <w:rsid w:val="001E6EB1"/>
    <w:rsid w:val="001E6FFC"/>
    <w:rsid w:val="001E7343"/>
    <w:rsid w:val="001E7574"/>
    <w:rsid w:val="001E779F"/>
    <w:rsid w:val="001E7FB8"/>
    <w:rsid w:val="001F0325"/>
    <w:rsid w:val="001F126A"/>
    <w:rsid w:val="001F1A2F"/>
    <w:rsid w:val="001F339A"/>
    <w:rsid w:val="001F34B1"/>
    <w:rsid w:val="001F3AAC"/>
    <w:rsid w:val="001F4786"/>
    <w:rsid w:val="001F4BE7"/>
    <w:rsid w:val="001F503A"/>
    <w:rsid w:val="001F54A5"/>
    <w:rsid w:val="001F5F0C"/>
    <w:rsid w:val="001F6623"/>
    <w:rsid w:val="001F7BEA"/>
    <w:rsid w:val="00200A86"/>
    <w:rsid w:val="00200DCD"/>
    <w:rsid w:val="00201B2C"/>
    <w:rsid w:val="00201D1A"/>
    <w:rsid w:val="0020348E"/>
    <w:rsid w:val="00203A2D"/>
    <w:rsid w:val="00203A55"/>
    <w:rsid w:val="002041F5"/>
    <w:rsid w:val="002048B4"/>
    <w:rsid w:val="002063E0"/>
    <w:rsid w:val="0020677A"/>
    <w:rsid w:val="00206E55"/>
    <w:rsid w:val="00207213"/>
    <w:rsid w:val="00207A13"/>
    <w:rsid w:val="002106C4"/>
    <w:rsid w:val="0021139C"/>
    <w:rsid w:val="00211D93"/>
    <w:rsid w:val="00212D19"/>
    <w:rsid w:val="00212F39"/>
    <w:rsid w:val="002136D0"/>
    <w:rsid w:val="00213E13"/>
    <w:rsid w:val="00214A22"/>
    <w:rsid w:val="00215C5B"/>
    <w:rsid w:val="002162A6"/>
    <w:rsid w:val="00216739"/>
    <w:rsid w:val="0021728C"/>
    <w:rsid w:val="002173EC"/>
    <w:rsid w:val="00217605"/>
    <w:rsid w:val="00217657"/>
    <w:rsid w:val="0022058B"/>
    <w:rsid w:val="00222B75"/>
    <w:rsid w:val="00223B88"/>
    <w:rsid w:val="00226A77"/>
    <w:rsid w:val="0022753A"/>
    <w:rsid w:val="00230030"/>
    <w:rsid w:val="002301F7"/>
    <w:rsid w:val="002316C8"/>
    <w:rsid w:val="00231C97"/>
    <w:rsid w:val="00231D79"/>
    <w:rsid w:val="00231F82"/>
    <w:rsid w:val="00232446"/>
    <w:rsid w:val="002327A3"/>
    <w:rsid w:val="00232866"/>
    <w:rsid w:val="00233E81"/>
    <w:rsid w:val="002340EC"/>
    <w:rsid w:val="00235096"/>
    <w:rsid w:val="002355B1"/>
    <w:rsid w:val="00235960"/>
    <w:rsid w:val="00236304"/>
    <w:rsid w:val="002363E4"/>
    <w:rsid w:val="002367ED"/>
    <w:rsid w:val="0024089A"/>
    <w:rsid w:val="00240E2B"/>
    <w:rsid w:val="00241602"/>
    <w:rsid w:val="00241B71"/>
    <w:rsid w:val="00241CED"/>
    <w:rsid w:val="00241EBA"/>
    <w:rsid w:val="0024206C"/>
    <w:rsid w:val="00243B0B"/>
    <w:rsid w:val="00243B19"/>
    <w:rsid w:val="002440E9"/>
    <w:rsid w:val="0024410E"/>
    <w:rsid w:val="00244564"/>
    <w:rsid w:val="00244F68"/>
    <w:rsid w:val="00245397"/>
    <w:rsid w:val="00245D8A"/>
    <w:rsid w:val="00245D93"/>
    <w:rsid w:val="0024658B"/>
    <w:rsid w:val="00246C80"/>
    <w:rsid w:val="002470C0"/>
    <w:rsid w:val="00247159"/>
    <w:rsid w:val="0024721C"/>
    <w:rsid w:val="00247400"/>
    <w:rsid w:val="0024755F"/>
    <w:rsid w:val="0024774D"/>
    <w:rsid w:val="0024790A"/>
    <w:rsid w:val="00247938"/>
    <w:rsid w:val="0024795D"/>
    <w:rsid w:val="0024795F"/>
    <w:rsid w:val="00252449"/>
    <w:rsid w:val="0025295D"/>
    <w:rsid w:val="00254D33"/>
    <w:rsid w:val="002550CC"/>
    <w:rsid w:val="00255656"/>
    <w:rsid w:val="00255EF6"/>
    <w:rsid w:val="00255FE0"/>
    <w:rsid w:val="00256DA8"/>
    <w:rsid w:val="0026070C"/>
    <w:rsid w:val="00260BCD"/>
    <w:rsid w:val="00260D57"/>
    <w:rsid w:val="00261C90"/>
    <w:rsid w:val="002629CF"/>
    <w:rsid w:val="00262D59"/>
    <w:rsid w:val="00262EAA"/>
    <w:rsid w:val="002631EA"/>
    <w:rsid w:val="00263401"/>
    <w:rsid w:val="00263B66"/>
    <w:rsid w:val="00264D54"/>
    <w:rsid w:val="0026674B"/>
    <w:rsid w:val="00267571"/>
    <w:rsid w:val="002677A1"/>
    <w:rsid w:val="002678CF"/>
    <w:rsid w:val="002703EA"/>
    <w:rsid w:val="0027100D"/>
    <w:rsid w:val="00271966"/>
    <w:rsid w:val="00272390"/>
    <w:rsid w:val="0027240D"/>
    <w:rsid w:val="00273FDF"/>
    <w:rsid w:val="00274928"/>
    <w:rsid w:val="002760D2"/>
    <w:rsid w:val="0027653C"/>
    <w:rsid w:val="00276D61"/>
    <w:rsid w:val="00277B5B"/>
    <w:rsid w:val="00277BE9"/>
    <w:rsid w:val="00281230"/>
    <w:rsid w:val="00281809"/>
    <w:rsid w:val="00282816"/>
    <w:rsid w:val="00282CE6"/>
    <w:rsid w:val="00282F43"/>
    <w:rsid w:val="00283055"/>
    <w:rsid w:val="00283D6F"/>
    <w:rsid w:val="00284059"/>
    <w:rsid w:val="0028422E"/>
    <w:rsid w:val="00284417"/>
    <w:rsid w:val="002849CE"/>
    <w:rsid w:val="002856D8"/>
    <w:rsid w:val="00286A87"/>
    <w:rsid w:val="0029071A"/>
    <w:rsid w:val="0029188A"/>
    <w:rsid w:val="002929E4"/>
    <w:rsid w:val="00292B42"/>
    <w:rsid w:val="00293044"/>
    <w:rsid w:val="00293646"/>
    <w:rsid w:val="00293B7B"/>
    <w:rsid w:val="00294D2D"/>
    <w:rsid w:val="00294F09"/>
    <w:rsid w:val="00295959"/>
    <w:rsid w:val="00295C7B"/>
    <w:rsid w:val="00295ED7"/>
    <w:rsid w:val="00297050"/>
    <w:rsid w:val="002975DD"/>
    <w:rsid w:val="002A00D2"/>
    <w:rsid w:val="002A119F"/>
    <w:rsid w:val="002A1DB6"/>
    <w:rsid w:val="002A2792"/>
    <w:rsid w:val="002A2CA4"/>
    <w:rsid w:val="002A302F"/>
    <w:rsid w:val="002A51C3"/>
    <w:rsid w:val="002A57C4"/>
    <w:rsid w:val="002A5D89"/>
    <w:rsid w:val="002A7753"/>
    <w:rsid w:val="002A79DA"/>
    <w:rsid w:val="002A7EEE"/>
    <w:rsid w:val="002B00BF"/>
    <w:rsid w:val="002B017C"/>
    <w:rsid w:val="002B114E"/>
    <w:rsid w:val="002B1FE7"/>
    <w:rsid w:val="002B31CA"/>
    <w:rsid w:val="002B41EA"/>
    <w:rsid w:val="002B4729"/>
    <w:rsid w:val="002B49AD"/>
    <w:rsid w:val="002B4C68"/>
    <w:rsid w:val="002B500D"/>
    <w:rsid w:val="002B508C"/>
    <w:rsid w:val="002B5133"/>
    <w:rsid w:val="002B5718"/>
    <w:rsid w:val="002B58BB"/>
    <w:rsid w:val="002B59BD"/>
    <w:rsid w:val="002B68B7"/>
    <w:rsid w:val="002B6FC9"/>
    <w:rsid w:val="002B7D84"/>
    <w:rsid w:val="002B7E9B"/>
    <w:rsid w:val="002C00BB"/>
    <w:rsid w:val="002C0AD7"/>
    <w:rsid w:val="002C1B99"/>
    <w:rsid w:val="002C28F2"/>
    <w:rsid w:val="002C295E"/>
    <w:rsid w:val="002C4206"/>
    <w:rsid w:val="002C4822"/>
    <w:rsid w:val="002C5C26"/>
    <w:rsid w:val="002C5FD9"/>
    <w:rsid w:val="002C648A"/>
    <w:rsid w:val="002C708C"/>
    <w:rsid w:val="002C73CD"/>
    <w:rsid w:val="002C7A9D"/>
    <w:rsid w:val="002C7F9D"/>
    <w:rsid w:val="002D1515"/>
    <w:rsid w:val="002D28CF"/>
    <w:rsid w:val="002D3663"/>
    <w:rsid w:val="002D3EBE"/>
    <w:rsid w:val="002D3EF9"/>
    <w:rsid w:val="002D4111"/>
    <w:rsid w:val="002D588A"/>
    <w:rsid w:val="002D59CD"/>
    <w:rsid w:val="002D681F"/>
    <w:rsid w:val="002D7835"/>
    <w:rsid w:val="002D7BB5"/>
    <w:rsid w:val="002E009D"/>
    <w:rsid w:val="002E00E2"/>
    <w:rsid w:val="002E17A6"/>
    <w:rsid w:val="002E2AA7"/>
    <w:rsid w:val="002E492B"/>
    <w:rsid w:val="002E6C31"/>
    <w:rsid w:val="002E6DEB"/>
    <w:rsid w:val="002E78BB"/>
    <w:rsid w:val="002F0095"/>
    <w:rsid w:val="002F170E"/>
    <w:rsid w:val="002F22CA"/>
    <w:rsid w:val="002F23C0"/>
    <w:rsid w:val="002F2CFB"/>
    <w:rsid w:val="002F2D15"/>
    <w:rsid w:val="002F2DCE"/>
    <w:rsid w:val="002F2E26"/>
    <w:rsid w:val="002F4D56"/>
    <w:rsid w:val="002F574C"/>
    <w:rsid w:val="002F6000"/>
    <w:rsid w:val="002F64C3"/>
    <w:rsid w:val="002F7104"/>
    <w:rsid w:val="002F7652"/>
    <w:rsid w:val="002F7B0F"/>
    <w:rsid w:val="002F7E22"/>
    <w:rsid w:val="00301307"/>
    <w:rsid w:val="003035E6"/>
    <w:rsid w:val="00304528"/>
    <w:rsid w:val="0030686C"/>
    <w:rsid w:val="003068AA"/>
    <w:rsid w:val="00306AF2"/>
    <w:rsid w:val="0030715F"/>
    <w:rsid w:val="00307E6A"/>
    <w:rsid w:val="003110F1"/>
    <w:rsid w:val="00311129"/>
    <w:rsid w:val="00311177"/>
    <w:rsid w:val="00311234"/>
    <w:rsid w:val="0031229D"/>
    <w:rsid w:val="00313287"/>
    <w:rsid w:val="003139E5"/>
    <w:rsid w:val="003142D1"/>
    <w:rsid w:val="0031476A"/>
    <w:rsid w:val="0031500F"/>
    <w:rsid w:val="00315417"/>
    <w:rsid w:val="00315651"/>
    <w:rsid w:val="00316407"/>
    <w:rsid w:val="003164FA"/>
    <w:rsid w:val="003165B7"/>
    <w:rsid w:val="0031697A"/>
    <w:rsid w:val="003173D4"/>
    <w:rsid w:val="0032003F"/>
    <w:rsid w:val="003205DB"/>
    <w:rsid w:val="00320B93"/>
    <w:rsid w:val="00321A1E"/>
    <w:rsid w:val="00321CA6"/>
    <w:rsid w:val="00321DA4"/>
    <w:rsid w:val="00321DFC"/>
    <w:rsid w:val="00322083"/>
    <w:rsid w:val="0032255D"/>
    <w:rsid w:val="00322562"/>
    <w:rsid w:val="00322615"/>
    <w:rsid w:val="003227AB"/>
    <w:rsid w:val="0032414C"/>
    <w:rsid w:val="003241D2"/>
    <w:rsid w:val="00324505"/>
    <w:rsid w:val="003253D1"/>
    <w:rsid w:val="00325732"/>
    <w:rsid w:val="00326A88"/>
    <w:rsid w:val="00326AC9"/>
    <w:rsid w:val="00326C3C"/>
    <w:rsid w:val="00326E46"/>
    <w:rsid w:val="003270C8"/>
    <w:rsid w:val="00330DD3"/>
    <w:rsid w:val="00331B79"/>
    <w:rsid w:val="00331C1C"/>
    <w:rsid w:val="00332048"/>
    <w:rsid w:val="003320B9"/>
    <w:rsid w:val="003320D6"/>
    <w:rsid w:val="00332A89"/>
    <w:rsid w:val="00332E59"/>
    <w:rsid w:val="00332F2A"/>
    <w:rsid w:val="0033300D"/>
    <w:rsid w:val="00333752"/>
    <w:rsid w:val="0033385D"/>
    <w:rsid w:val="00333E64"/>
    <w:rsid w:val="00334487"/>
    <w:rsid w:val="003344C0"/>
    <w:rsid w:val="00335A95"/>
    <w:rsid w:val="00335E1F"/>
    <w:rsid w:val="00335F6A"/>
    <w:rsid w:val="0033654A"/>
    <w:rsid w:val="0033799E"/>
    <w:rsid w:val="00340423"/>
    <w:rsid w:val="003405D7"/>
    <w:rsid w:val="00341B0E"/>
    <w:rsid w:val="003427EC"/>
    <w:rsid w:val="00342AA8"/>
    <w:rsid w:val="00342B7F"/>
    <w:rsid w:val="003432BE"/>
    <w:rsid w:val="003441F0"/>
    <w:rsid w:val="00346AEC"/>
    <w:rsid w:val="00346CC5"/>
    <w:rsid w:val="00347700"/>
    <w:rsid w:val="00347C02"/>
    <w:rsid w:val="00350331"/>
    <w:rsid w:val="00350ACB"/>
    <w:rsid w:val="0035191A"/>
    <w:rsid w:val="00351F6B"/>
    <w:rsid w:val="003523BB"/>
    <w:rsid w:val="0035242A"/>
    <w:rsid w:val="00352BC5"/>
    <w:rsid w:val="003530AD"/>
    <w:rsid w:val="003537AF"/>
    <w:rsid w:val="003537BB"/>
    <w:rsid w:val="00353E69"/>
    <w:rsid w:val="003543C3"/>
    <w:rsid w:val="00354881"/>
    <w:rsid w:val="00354A37"/>
    <w:rsid w:val="00354B38"/>
    <w:rsid w:val="00355338"/>
    <w:rsid w:val="0035551D"/>
    <w:rsid w:val="00355B17"/>
    <w:rsid w:val="00355D73"/>
    <w:rsid w:val="003564AA"/>
    <w:rsid w:val="003570FA"/>
    <w:rsid w:val="00357ACD"/>
    <w:rsid w:val="00357B52"/>
    <w:rsid w:val="00357D3C"/>
    <w:rsid w:val="003612F2"/>
    <w:rsid w:val="00361511"/>
    <w:rsid w:val="00361E4C"/>
    <w:rsid w:val="00362B8C"/>
    <w:rsid w:val="0036331C"/>
    <w:rsid w:val="00365CB4"/>
    <w:rsid w:val="003670CA"/>
    <w:rsid w:val="00367C02"/>
    <w:rsid w:val="003701DE"/>
    <w:rsid w:val="00370290"/>
    <w:rsid w:val="00370F01"/>
    <w:rsid w:val="00372D00"/>
    <w:rsid w:val="00372DFA"/>
    <w:rsid w:val="00373849"/>
    <w:rsid w:val="00373AA3"/>
    <w:rsid w:val="00373DE6"/>
    <w:rsid w:val="003746F8"/>
    <w:rsid w:val="00375C37"/>
    <w:rsid w:val="003763E4"/>
    <w:rsid w:val="00376B22"/>
    <w:rsid w:val="00376DAD"/>
    <w:rsid w:val="00377326"/>
    <w:rsid w:val="00377E51"/>
    <w:rsid w:val="00377ED2"/>
    <w:rsid w:val="00380144"/>
    <w:rsid w:val="00380527"/>
    <w:rsid w:val="003806B1"/>
    <w:rsid w:val="003808A0"/>
    <w:rsid w:val="003817B6"/>
    <w:rsid w:val="00381980"/>
    <w:rsid w:val="00381BD4"/>
    <w:rsid w:val="00381D9A"/>
    <w:rsid w:val="00381E3F"/>
    <w:rsid w:val="00381ECB"/>
    <w:rsid w:val="0038221B"/>
    <w:rsid w:val="00382A86"/>
    <w:rsid w:val="00382F22"/>
    <w:rsid w:val="003831A5"/>
    <w:rsid w:val="00383278"/>
    <w:rsid w:val="0038492F"/>
    <w:rsid w:val="00384A39"/>
    <w:rsid w:val="00384E5D"/>
    <w:rsid w:val="0038509F"/>
    <w:rsid w:val="00385AF8"/>
    <w:rsid w:val="0038716B"/>
    <w:rsid w:val="00390129"/>
    <w:rsid w:val="00390213"/>
    <w:rsid w:val="0039021E"/>
    <w:rsid w:val="00390C34"/>
    <w:rsid w:val="003914BB"/>
    <w:rsid w:val="00391A81"/>
    <w:rsid w:val="0039281C"/>
    <w:rsid w:val="003929CB"/>
    <w:rsid w:val="003946FA"/>
    <w:rsid w:val="00394811"/>
    <w:rsid w:val="00394BBA"/>
    <w:rsid w:val="00395212"/>
    <w:rsid w:val="00396DAB"/>
    <w:rsid w:val="0039722C"/>
    <w:rsid w:val="0039753D"/>
    <w:rsid w:val="00397A7C"/>
    <w:rsid w:val="003A1A6C"/>
    <w:rsid w:val="003A2169"/>
    <w:rsid w:val="003A294B"/>
    <w:rsid w:val="003A29D6"/>
    <w:rsid w:val="003A3536"/>
    <w:rsid w:val="003A36E6"/>
    <w:rsid w:val="003A39B9"/>
    <w:rsid w:val="003A41E4"/>
    <w:rsid w:val="003A4348"/>
    <w:rsid w:val="003A4942"/>
    <w:rsid w:val="003A4BEF"/>
    <w:rsid w:val="003A505F"/>
    <w:rsid w:val="003A7FC7"/>
    <w:rsid w:val="003B0166"/>
    <w:rsid w:val="003B0397"/>
    <w:rsid w:val="003B072B"/>
    <w:rsid w:val="003B0A30"/>
    <w:rsid w:val="003B1A61"/>
    <w:rsid w:val="003B1EAE"/>
    <w:rsid w:val="003B2501"/>
    <w:rsid w:val="003B2A5D"/>
    <w:rsid w:val="003B2CB9"/>
    <w:rsid w:val="003B3406"/>
    <w:rsid w:val="003B44A0"/>
    <w:rsid w:val="003B4A00"/>
    <w:rsid w:val="003B4D08"/>
    <w:rsid w:val="003B4D87"/>
    <w:rsid w:val="003B5D58"/>
    <w:rsid w:val="003B636D"/>
    <w:rsid w:val="003B65F7"/>
    <w:rsid w:val="003B667D"/>
    <w:rsid w:val="003B6B0A"/>
    <w:rsid w:val="003B73EF"/>
    <w:rsid w:val="003B7A6C"/>
    <w:rsid w:val="003B7E70"/>
    <w:rsid w:val="003C035B"/>
    <w:rsid w:val="003C05A0"/>
    <w:rsid w:val="003C132E"/>
    <w:rsid w:val="003C1A0D"/>
    <w:rsid w:val="003C1E02"/>
    <w:rsid w:val="003C1E5C"/>
    <w:rsid w:val="003C20E2"/>
    <w:rsid w:val="003C2985"/>
    <w:rsid w:val="003C3FA6"/>
    <w:rsid w:val="003C452F"/>
    <w:rsid w:val="003C4585"/>
    <w:rsid w:val="003C4858"/>
    <w:rsid w:val="003C4D44"/>
    <w:rsid w:val="003C5ACD"/>
    <w:rsid w:val="003C670B"/>
    <w:rsid w:val="003C72B0"/>
    <w:rsid w:val="003C76B3"/>
    <w:rsid w:val="003D29A6"/>
    <w:rsid w:val="003D2CE5"/>
    <w:rsid w:val="003D37F1"/>
    <w:rsid w:val="003D4487"/>
    <w:rsid w:val="003D4BE8"/>
    <w:rsid w:val="003D4FEA"/>
    <w:rsid w:val="003D5401"/>
    <w:rsid w:val="003D58A7"/>
    <w:rsid w:val="003D5C3D"/>
    <w:rsid w:val="003D5C7B"/>
    <w:rsid w:val="003D5DC6"/>
    <w:rsid w:val="003D6327"/>
    <w:rsid w:val="003D6515"/>
    <w:rsid w:val="003D6700"/>
    <w:rsid w:val="003D6BF8"/>
    <w:rsid w:val="003D7486"/>
    <w:rsid w:val="003D78C9"/>
    <w:rsid w:val="003E040F"/>
    <w:rsid w:val="003E0C82"/>
    <w:rsid w:val="003E234B"/>
    <w:rsid w:val="003E2EE3"/>
    <w:rsid w:val="003E3C66"/>
    <w:rsid w:val="003E448B"/>
    <w:rsid w:val="003E4F4C"/>
    <w:rsid w:val="003E6C33"/>
    <w:rsid w:val="003E7A95"/>
    <w:rsid w:val="003F02BF"/>
    <w:rsid w:val="003F0856"/>
    <w:rsid w:val="003F1006"/>
    <w:rsid w:val="003F14EC"/>
    <w:rsid w:val="003F15DE"/>
    <w:rsid w:val="003F185B"/>
    <w:rsid w:val="003F22A5"/>
    <w:rsid w:val="003F2AAD"/>
    <w:rsid w:val="003F2BA9"/>
    <w:rsid w:val="003F2F39"/>
    <w:rsid w:val="003F3286"/>
    <w:rsid w:val="003F3EFE"/>
    <w:rsid w:val="003F41FB"/>
    <w:rsid w:val="003F42D5"/>
    <w:rsid w:val="003F434D"/>
    <w:rsid w:val="003F439D"/>
    <w:rsid w:val="003F4AD0"/>
    <w:rsid w:val="003F50B2"/>
    <w:rsid w:val="003F5607"/>
    <w:rsid w:val="003F5EA2"/>
    <w:rsid w:val="003F7570"/>
    <w:rsid w:val="003F7F6A"/>
    <w:rsid w:val="004007DE"/>
    <w:rsid w:val="00400B6E"/>
    <w:rsid w:val="00400BB5"/>
    <w:rsid w:val="00402E11"/>
    <w:rsid w:val="00403507"/>
    <w:rsid w:val="00403627"/>
    <w:rsid w:val="004038FE"/>
    <w:rsid w:val="00403A12"/>
    <w:rsid w:val="0040559C"/>
    <w:rsid w:val="004079CF"/>
    <w:rsid w:val="00410091"/>
    <w:rsid w:val="004106D0"/>
    <w:rsid w:val="00410A91"/>
    <w:rsid w:val="00410D71"/>
    <w:rsid w:val="004110A0"/>
    <w:rsid w:val="0041121E"/>
    <w:rsid w:val="00411A14"/>
    <w:rsid w:val="004120E5"/>
    <w:rsid w:val="004126A5"/>
    <w:rsid w:val="0041336F"/>
    <w:rsid w:val="00413750"/>
    <w:rsid w:val="00413EE8"/>
    <w:rsid w:val="004143B3"/>
    <w:rsid w:val="004144B0"/>
    <w:rsid w:val="004147FC"/>
    <w:rsid w:val="004158C7"/>
    <w:rsid w:val="00415983"/>
    <w:rsid w:val="00415AE6"/>
    <w:rsid w:val="00417E20"/>
    <w:rsid w:val="00420EF1"/>
    <w:rsid w:val="00420F95"/>
    <w:rsid w:val="00421582"/>
    <w:rsid w:val="00421E86"/>
    <w:rsid w:val="0042324D"/>
    <w:rsid w:val="00424E59"/>
    <w:rsid w:val="00425038"/>
    <w:rsid w:val="00425240"/>
    <w:rsid w:val="00425A70"/>
    <w:rsid w:val="00426A29"/>
    <w:rsid w:val="0042795F"/>
    <w:rsid w:val="00427D8D"/>
    <w:rsid w:val="00431150"/>
    <w:rsid w:val="00431327"/>
    <w:rsid w:val="00431CD3"/>
    <w:rsid w:val="0043210D"/>
    <w:rsid w:val="0043388B"/>
    <w:rsid w:val="00434068"/>
    <w:rsid w:val="00434074"/>
    <w:rsid w:val="00434909"/>
    <w:rsid w:val="00434FCB"/>
    <w:rsid w:val="0043597F"/>
    <w:rsid w:val="00435B22"/>
    <w:rsid w:val="00436392"/>
    <w:rsid w:val="004363D2"/>
    <w:rsid w:val="004374FC"/>
    <w:rsid w:val="00437524"/>
    <w:rsid w:val="00437BDA"/>
    <w:rsid w:val="00437CF1"/>
    <w:rsid w:val="00437DD9"/>
    <w:rsid w:val="0044001F"/>
    <w:rsid w:val="00440D10"/>
    <w:rsid w:val="00441B29"/>
    <w:rsid w:val="00442103"/>
    <w:rsid w:val="00442674"/>
    <w:rsid w:val="00442795"/>
    <w:rsid w:val="004427BB"/>
    <w:rsid w:val="00442D17"/>
    <w:rsid w:val="0044312B"/>
    <w:rsid w:val="0044467B"/>
    <w:rsid w:val="00444C73"/>
    <w:rsid w:val="00444E67"/>
    <w:rsid w:val="00445984"/>
    <w:rsid w:val="00445A0C"/>
    <w:rsid w:val="00446106"/>
    <w:rsid w:val="00446C71"/>
    <w:rsid w:val="00451242"/>
    <w:rsid w:val="0045195B"/>
    <w:rsid w:val="004519E7"/>
    <w:rsid w:val="00451EF7"/>
    <w:rsid w:val="00451EFB"/>
    <w:rsid w:val="0045215E"/>
    <w:rsid w:val="0045272B"/>
    <w:rsid w:val="00453141"/>
    <w:rsid w:val="00453EDF"/>
    <w:rsid w:val="00454539"/>
    <w:rsid w:val="00454A31"/>
    <w:rsid w:val="00454D31"/>
    <w:rsid w:val="004553FC"/>
    <w:rsid w:val="00455912"/>
    <w:rsid w:val="00455D99"/>
    <w:rsid w:val="00456261"/>
    <w:rsid w:val="00456D39"/>
    <w:rsid w:val="00456EC4"/>
    <w:rsid w:val="00456EF1"/>
    <w:rsid w:val="004571CC"/>
    <w:rsid w:val="004574CE"/>
    <w:rsid w:val="00457B48"/>
    <w:rsid w:val="00457B4C"/>
    <w:rsid w:val="004600F6"/>
    <w:rsid w:val="0046043A"/>
    <w:rsid w:val="00461195"/>
    <w:rsid w:val="00462F98"/>
    <w:rsid w:val="0046360C"/>
    <w:rsid w:val="0046387E"/>
    <w:rsid w:val="004638A9"/>
    <w:rsid w:val="00463A7E"/>
    <w:rsid w:val="0046410C"/>
    <w:rsid w:val="0046509D"/>
    <w:rsid w:val="00465228"/>
    <w:rsid w:val="0046561A"/>
    <w:rsid w:val="004656E1"/>
    <w:rsid w:val="00466829"/>
    <w:rsid w:val="00466967"/>
    <w:rsid w:val="00466BEB"/>
    <w:rsid w:val="00470378"/>
    <w:rsid w:val="004707C3"/>
    <w:rsid w:val="00472382"/>
    <w:rsid w:val="00472AD2"/>
    <w:rsid w:val="00472C93"/>
    <w:rsid w:val="00472E85"/>
    <w:rsid w:val="0047329A"/>
    <w:rsid w:val="0047341A"/>
    <w:rsid w:val="00473488"/>
    <w:rsid w:val="00473765"/>
    <w:rsid w:val="00473985"/>
    <w:rsid w:val="00475D97"/>
    <w:rsid w:val="00476576"/>
    <w:rsid w:val="00476D2E"/>
    <w:rsid w:val="00477A1B"/>
    <w:rsid w:val="00477D5A"/>
    <w:rsid w:val="004802BE"/>
    <w:rsid w:val="00480D0C"/>
    <w:rsid w:val="004822E3"/>
    <w:rsid w:val="00482E48"/>
    <w:rsid w:val="00483DE5"/>
    <w:rsid w:val="00484D94"/>
    <w:rsid w:val="00485E67"/>
    <w:rsid w:val="004861FF"/>
    <w:rsid w:val="00486A7E"/>
    <w:rsid w:val="00486D0A"/>
    <w:rsid w:val="0048715A"/>
    <w:rsid w:val="00487815"/>
    <w:rsid w:val="00487984"/>
    <w:rsid w:val="00490824"/>
    <w:rsid w:val="00490938"/>
    <w:rsid w:val="00491711"/>
    <w:rsid w:val="00492832"/>
    <w:rsid w:val="00492E46"/>
    <w:rsid w:val="00493063"/>
    <w:rsid w:val="00493504"/>
    <w:rsid w:val="00493A26"/>
    <w:rsid w:val="00493E31"/>
    <w:rsid w:val="00493F81"/>
    <w:rsid w:val="0049454D"/>
    <w:rsid w:val="00494B98"/>
    <w:rsid w:val="00495EA2"/>
    <w:rsid w:val="004977C9"/>
    <w:rsid w:val="00497B87"/>
    <w:rsid w:val="004A0E04"/>
    <w:rsid w:val="004A1654"/>
    <w:rsid w:val="004A195C"/>
    <w:rsid w:val="004A1E66"/>
    <w:rsid w:val="004A2C59"/>
    <w:rsid w:val="004A4146"/>
    <w:rsid w:val="004A464A"/>
    <w:rsid w:val="004A6CB3"/>
    <w:rsid w:val="004B0719"/>
    <w:rsid w:val="004B10E0"/>
    <w:rsid w:val="004B13BD"/>
    <w:rsid w:val="004B145C"/>
    <w:rsid w:val="004B15CC"/>
    <w:rsid w:val="004B2187"/>
    <w:rsid w:val="004B2F04"/>
    <w:rsid w:val="004B3167"/>
    <w:rsid w:val="004B3690"/>
    <w:rsid w:val="004B36BA"/>
    <w:rsid w:val="004B4886"/>
    <w:rsid w:val="004B4FDA"/>
    <w:rsid w:val="004B6338"/>
    <w:rsid w:val="004B66B0"/>
    <w:rsid w:val="004B6A68"/>
    <w:rsid w:val="004B725C"/>
    <w:rsid w:val="004B728D"/>
    <w:rsid w:val="004B7829"/>
    <w:rsid w:val="004C031A"/>
    <w:rsid w:val="004C03C0"/>
    <w:rsid w:val="004C0503"/>
    <w:rsid w:val="004C0E52"/>
    <w:rsid w:val="004C10A7"/>
    <w:rsid w:val="004C113B"/>
    <w:rsid w:val="004C153F"/>
    <w:rsid w:val="004C17EE"/>
    <w:rsid w:val="004C1971"/>
    <w:rsid w:val="004C2083"/>
    <w:rsid w:val="004C2937"/>
    <w:rsid w:val="004C297F"/>
    <w:rsid w:val="004C29E7"/>
    <w:rsid w:val="004C2EF1"/>
    <w:rsid w:val="004C3D08"/>
    <w:rsid w:val="004C43DF"/>
    <w:rsid w:val="004C4B95"/>
    <w:rsid w:val="004C53E8"/>
    <w:rsid w:val="004C5474"/>
    <w:rsid w:val="004C5A94"/>
    <w:rsid w:val="004C5C49"/>
    <w:rsid w:val="004C5FEF"/>
    <w:rsid w:val="004C6B50"/>
    <w:rsid w:val="004C6BD7"/>
    <w:rsid w:val="004C6EE3"/>
    <w:rsid w:val="004C7E24"/>
    <w:rsid w:val="004D1B40"/>
    <w:rsid w:val="004D1DE3"/>
    <w:rsid w:val="004D29B7"/>
    <w:rsid w:val="004D3027"/>
    <w:rsid w:val="004D3ECA"/>
    <w:rsid w:val="004D4324"/>
    <w:rsid w:val="004E0126"/>
    <w:rsid w:val="004E0E9A"/>
    <w:rsid w:val="004E15F5"/>
    <w:rsid w:val="004E1B13"/>
    <w:rsid w:val="004E2387"/>
    <w:rsid w:val="004E2A01"/>
    <w:rsid w:val="004E2DBA"/>
    <w:rsid w:val="004E32F7"/>
    <w:rsid w:val="004E36B0"/>
    <w:rsid w:val="004E37B0"/>
    <w:rsid w:val="004E4213"/>
    <w:rsid w:val="004E4E56"/>
    <w:rsid w:val="004E51A4"/>
    <w:rsid w:val="004E689A"/>
    <w:rsid w:val="004E7247"/>
    <w:rsid w:val="004E7C53"/>
    <w:rsid w:val="004F01F2"/>
    <w:rsid w:val="004F0648"/>
    <w:rsid w:val="004F09B7"/>
    <w:rsid w:val="004F10AF"/>
    <w:rsid w:val="004F1443"/>
    <w:rsid w:val="004F1ABE"/>
    <w:rsid w:val="004F217E"/>
    <w:rsid w:val="004F2876"/>
    <w:rsid w:val="004F2938"/>
    <w:rsid w:val="004F2EBC"/>
    <w:rsid w:val="004F348D"/>
    <w:rsid w:val="004F3608"/>
    <w:rsid w:val="004F3689"/>
    <w:rsid w:val="004F4075"/>
    <w:rsid w:val="004F44E5"/>
    <w:rsid w:val="004F4763"/>
    <w:rsid w:val="004F512A"/>
    <w:rsid w:val="004F5528"/>
    <w:rsid w:val="004F5D23"/>
    <w:rsid w:val="004F6D3D"/>
    <w:rsid w:val="004F7367"/>
    <w:rsid w:val="0050023F"/>
    <w:rsid w:val="005002CF"/>
    <w:rsid w:val="0050063E"/>
    <w:rsid w:val="00500907"/>
    <w:rsid w:val="00500F36"/>
    <w:rsid w:val="005021A4"/>
    <w:rsid w:val="005023A8"/>
    <w:rsid w:val="00502645"/>
    <w:rsid w:val="00502E26"/>
    <w:rsid w:val="0050338A"/>
    <w:rsid w:val="00504058"/>
    <w:rsid w:val="00504F5E"/>
    <w:rsid w:val="0050621B"/>
    <w:rsid w:val="005065B1"/>
    <w:rsid w:val="00506971"/>
    <w:rsid w:val="005069B5"/>
    <w:rsid w:val="0050725F"/>
    <w:rsid w:val="005075E8"/>
    <w:rsid w:val="005076DF"/>
    <w:rsid w:val="005077F1"/>
    <w:rsid w:val="00507AEE"/>
    <w:rsid w:val="00510053"/>
    <w:rsid w:val="00513797"/>
    <w:rsid w:val="00513A14"/>
    <w:rsid w:val="0051475B"/>
    <w:rsid w:val="00514BEC"/>
    <w:rsid w:val="005165BA"/>
    <w:rsid w:val="005172C8"/>
    <w:rsid w:val="0051749F"/>
    <w:rsid w:val="00517581"/>
    <w:rsid w:val="005179BC"/>
    <w:rsid w:val="005207AB"/>
    <w:rsid w:val="005207F4"/>
    <w:rsid w:val="005211FC"/>
    <w:rsid w:val="00522012"/>
    <w:rsid w:val="0052217E"/>
    <w:rsid w:val="0052219B"/>
    <w:rsid w:val="005221E6"/>
    <w:rsid w:val="0052384D"/>
    <w:rsid w:val="00523E0A"/>
    <w:rsid w:val="00524366"/>
    <w:rsid w:val="00524B5A"/>
    <w:rsid w:val="00524DA5"/>
    <w:rsid w:val="00525473"/>
    <w:rsid w:val="00525759"/>
    <w:rsid w:val="00526CA3"/>
    <w:rsid w:val="00526D2B"/>
    <w:rsid w:val="00526FF6"/>
    <w:rsid w:val="00527112"/>
    <w:rsid w:val="0053009B"/>
    <w:rsid w:val="005318EC"/>
    <w:rsid w:val="00532564"/>
    <w:rsid w:val="00533210"/>
    <w:rsid w:val="00534372"/>
    <w:rsid w:val="00534AD6"/>
    <w:rsid w:val="005351D2"/>
    <w:rsid w:val="0053637A"/>
    <w:rsid w:val="00537186"/>
    <w:rsid w:val="00537EC1"/>
    <w:rsid w:val="005409C9"/>
    <w:rsid w:val="00541139"/>
    <w:rsid w:val="005411EA"/>
    <w:rsid w:val="00541838"/>
    <w:rsid w:val="00541C67"/>
    <w:rsid w:val="005422C5"/>
    <w:rsid w:val="00542930"/>
    <w:rsid w:val="00542A1F"/>
    <w:rsid w:val="00542F0D"/>
    <w:rsid w:val="00543102"/>
    <w:rsid w:val="00543DC0"/>
    <w:rsid w:val="00543E30"/>
    <w:rsid w:val="005447AE"/>
    <w:rsid w:val="0054508E"/>
    <w:rsid w:val="005461A3"/>
    <w:rsid w:val="005502EC"/>
    <w:rsid w:val="00550461"/>
    <w:rsid w:val="00550C5B"/>
    <w:rsid w:val="0055140F"/>
    <w:rsid w:val="005519DB"/>
    <w:rsid w:val="005532D3"/>
    <w:rsid w:val="005538BF"/>
    <w:rsid w:val="00553E36"/>
    <w:rsid w:val="00553F07"/>
    <w:rsid w:val="00555660"/>
    <w:rsid w:val="0055666C"/>
    <w:rsid w:val="005577FA"/>
    <w:rsid w:val="00557DDF"/>
    <w:rsid w:val="0056001B"/>
    <w:rsid w:val="0056015A"/>
    <w:rsid w:val="005603A6"/>
    <w:rsid w:val="005622EF"/>
    <w:rsid w:val="005627D1"/>
    <w:rsid w:val="00563B2A"/>
    <w:rsid w:val="005647C0"/>
    <w:rsid w:val="005661D0"/>
    <w:rsid w:val="00566E29"/>
    <w:rsid w:val="00567299"/>
    <w:rsid w:val="00570A1B"/>
    <w:rsid w:val="00570C8B"/>
    <w:rsid w:val="005718BA"/>
    <w:rsid w:val="00571F96"/>
    <w:rsid w:val="00572645"/>
    <w:rsid w:val="00572D49"/>
    <w:rsid w:val="00573EAB"/>
    <w:rsid w:val="00573FC1"/>
    <w:rsid w:val="00574C56"/>
    <w:rsid w:val="00575DC4"/>
    <w:rsid w:val="0057687A"/>
    <w:rsid w:val="00576C41"/>
    <w:rsid w:val="00576E66"/>
    <w:rsid w:val="00576EF5"/>
    <w:rsid w:val="00577911"/>
    <w:rsid w:val="00577FB6"/>
    <w:rsid w:val="005800EA"/>
    <w:rsid w:val="00580742"/>
    <w:rsid w:val="0058127B"/>
    <w:rsid w:val="00581294"/>
    <w:rsid w:val="005825A1"/>
    <w:rsid w:val="00582EE7"/>
    <w:rsid w:val="00583D8B"/>
    <w:rsid w:val="00583F3B"/>
    <w:rsid w:val="00584B42"/>
    <w:rsid w:val="005869BF"/>
    <w:rsid w:val="00587027"/>
    <w:rsid w:val="00587291"/>
    <w:rsid w:val="005877B3"/>
    <w:rsid w:val="00590DF1"/>
    <w:rsid w:val="005923E5"/>
    <w:rsid w:val="00592724"/>
    <w:rsid w:val="00593508"/>
    <w:rsid w:val="00593A5F"/>
    <w:rsid w:val="005946C0"/>
    <w:rsid w:val="00594A9A"/>
    <w:rsid w:val="00595794"/>
    <w:rsid w:val="00596054"/>
    <w:rsid w:val="0059614A"/>
    <w:rsid w:val="00596B76"/>
    <w:rsid w:val="00597220"/>
    <w:rsid w:val="0059742E"/>
    <w:rsid w:val="005A0DFB"/>
    <w:rsid w:val="005A1333"/>
    <w:rsid w:val="005A1409"/>
    <w:rsid w:val="005A1C99"/>
    <w:rsid w:val="005A1CE0"/>
    <w:rsid w:val="005A1FEF"/>
    <w:rsid w:val="005A25F1"/>
    <w:rsid w:val="005A27CF"/>
    <w:rsid w:val="005A309C"/>
    <w:rsid w:val="005A3906"/>
    <w:rsid w:val="005A4DA9"/>
    <w:rsid w:val="005A5854"/>
    <w:rsid w:val="005A5E77"/>
    <w:rsid w:val="005A7120"/>
    <w:rsid w:val="005A71C5"/>
    <w:rsid w:val="005A7A1E"/>
    <w:rsid w:val="005B0A06"/>
    <w:rsid w:val="005B1162"/>
    <w:rsid w:val="005B13ED"/>
    <w:rsid w:val="005B14B5"/>
    <w:rsid w:val="005B1E86"/>
    <w:rsid w:val="005B20B2"/>
    <w:rsid w:val="005B21BE"/>
    <w:rsid w:val="005B21F0"/>
    <w:rsid w:val="005B24F7"/>
    <w:rsid w:val="005B2571"/>
    <w:rsid w:val="005B2D58"/>
    <w:rsid w:val="005B372C"/>
    <w:rsid w:val="005B4876"/>
    <w:rsid w:val="005B48D7"/>
    <w:rsid w:val="005B4B53"/>
    <w:rsid w:val="005B5EAD"/>
    <w:rsid w:val="005B6018"/>
    <w:rsid w:val="005B663C"/>
    <w:rsid w:val="005B6700"/>
    <w:rsid w:val="005B6E94"/>
    <w:rsid w:val="005B7050"/>
    <w:rsid w:val="005C02E8"/>
    <w:rsid w:val="005C1CF0"/>
    <w:rsid w:val="005C2C07"/>
    <w:rsid w:val="005C3644"/>
    <w:rsid w:val="005C3BF9"/>
    <w:rsid w:val="005C3E4A"/>
    <w:rsid w:val="005C4F77"/>
    <w:rsid w:val="005C517A"/>
    <w:rsid w:val="005C52DD"/>
    <w:rsid w:val="005C5ED8"/>
    <w:rsid w:val="005C692D"/>
    <w:rsid w:val="005C6A59"/>
    <w:rsid w:val="005C6F7E"/>
    <w:rsid w:val="005C70A0"/>
    <w:rsid w:val="005C7316"/>
    <w:rsid w:val="005D0425"/>
    <w:rsid w:val="005D1BB8"/>
    <w:rsid w:val="005D1BCD"/>
    <w:rsid w:val="005D3385"/>
    <w:rsid w:val="005D352C"/>
    <w:rsid w:val="005D41DE"/>
    <w:rsid w:val="005D43D7"/>
    <w:rsid w:val="005D44A4"/>
    <w:rsid w:val="005D4ACE"/>
    <w:rsid w:val="005D4B20"/>
    <w:rsid w:val="005D4D8F"/>
    <w:rsid w:val="005D56D9"/>
    <w:rsid w:val="005D5702"/>
    <w:rsid w:val="005D5A99"/>
    <w:rsid w:val="005D5FE1"/>
    <w:rsid w:val="005D6298"/>
    <w:rsid w:val="005D7001"/>
    <w:rsid w:val="005D73A8"/>
    <w:rsid w:val="005E0916"/>
    <w:rsid w:val="005E0DA8"/>
    <w:rsid w:val="005E1507"/>
    <w:rsid w:val="005E150B"/>
    <w:rsid w:val="005E2AA3"/>
    <w:rsid w:val="005E30B7"/>
    <w:rsid w:val="005E349D"/>
    <w:rsid w:val="005E4807"/>
    <w:rsid w:val="005E4D8A"/>
    <w:rsid w:val="005E50A1"/>
    <w:rsid w:val="005E51E5"/>
    <w:rsid w:val="005E5FFB"/>
    <w:rsid w:val="005E701D"/>
    <w:rsid w:val="005E7402"/>
    <w:rsid w:val="005E7518"/>
    <w:rsid w:val="005E7890"/>
    <w:rsid w:val="005F01F8"/>
    <w:rsid w:val="005F036F"/>
    <w:rsid w:val="005F08CA"/>
    <w:rsid w:val="005F0C85"/>
    <w:rsid w:val="005F1DAF"/>
    <w:rsid w:val="005F24E8"/>
    <w:rsid w:val="005F29E0"/>
    <w:rsid w:val="005F2AFE"/>
    <w:rsid w:val="005F2F57"/>
    <w:rsid w:val="005F3095"/>
    <w:rsid w:val="005F3A35"/>
    <w:rsid w:val="005F3DD4"/>
    <w:rsid w:val="005F45B1"/>
    <w:rsid w:val="005F4614"/>
    <w:rsid w:val="005F4CB9"/>
    <w:rsid w:val="005F5270"/>
    <w:rsid w:val="005F52BB"/>
    <w:rsid w:val="005F594F"/>
    <w:rsid w:val="005F5979"/>
    <w:rsid w:val="005F6B4C"/>
    <w:rsid w:val="005F6D30"/>
    <w:rsid w:val="005F7A7A"/>
    <w:rsid w:val="005F7E43"/>
    <w:rsid w:val="006011F7"/>
    <w:rsid w:val="006016BB"/>
    <w:rsid w:val="0060171D"/>
    <w:rsid w:val="00601DC0"/>
    <w:rsid w:val="00603516"/>
    <w:rsid w:val="00603B64"/>
    <w:rsid w:val="00603DFE"/>
    <w:rsid w:val="006042ED"/>
    <w:rsid w:val="00605A19"/>
    <w:rsid w:val="00605C5F"/>
    <w:rsid w:val="00606111"/>
    <w:rsid w:val="00606262"/>
    <w:rsid w:val="00606455"/>
    <w:rsid w:val="00606FA6"/>
    <w:rsid w:val="006070ED"/>
    <w:rsid w:val="00607BF6"/>
    <w:rsid w:val="0061050A"/>
    <w:rsid w:val="00611254"/>
    <w:rsid w:val="00611625"/>
    <w:rsid w:val="00611784"/>
    <w:rsid w:val="006119F6"/>
    <w:rsid w:val="00613980"/>
    <w:rsid w:val="00614289"/>
    <w:rsid w:val="00614CDD"/>
    <w:rsid w:val="00617BC4"/>
    <w:rsid w:val="0062048E"/>
    <w:rsid w:val="00620A86"/>
    <w:rsid w:val="0062195E"/>
    <w:rsid w:val="0062239D"/>
    <w:rsid w:val="0062248A"/>
    <w:rsid w:val="00622552"/>
    <w:rsid w:val="0062259C"/>
    <w:rsid w:val="006231EB"/>
    <w:rsid w:val="00623E2D"/>
    <w:rsid w:val="00624FDD"/>
    <w:rsid w:val="006255C2"/>
    <w:rsid w:val="006263BA"/>
    <w:rsid w:val="00626DAD"/>
    <w:rsid w:val="00626F9F"/>
    <w:rsid w:val="00627F69"/>
    <w:rsid w:val="00627FC0"/>
    <w:rsid w:val="0063043B"/>
    <w:rsid w:val="006304A3"/>
    <w:rsid w:val="00630BBF"/>
    <w:rsid w:val="00631DAC"/>
    <w:rsid w:val="0063204C"/>
    <w:rsid w:val="00632A2D"/>
    <w:rsid w:val="00632A5F"/>
    <w:rsid w:val="00633885"/>
    <w:rsid w:val="0063395E"/>
    <w:rsid w:val="00633FE0"/>
    <w:rsid w:val="00634DE8"/>
    <w:rsid w:val="00635442"/>
    <w:rsid w:val="00635471"/>
    <w:rsid w:val="00635EB1"/>
    <w:rsid w:val="00636688"/>
    <w:rsid w:val="006368F4"/>
    <w:rsid w:val="00637861"/>
    <w:rsid w:val="00637A37"/>
    <w:rsid w:val="00637FEE"/>
    <w:rsid w:val="006401F2"/>
    <w:rsid w:val="00640D10"/>
    <w:rsid w:val="006412BB"/>
    <w:rsid w:val="00641CFD"/>
    <w:rsid w:val="00642069"/>
    <w:rsid w:val="00642E40"/>
    <w:rsid w:val="006435C0"/>
    <w:rsid w:val="00643D94"/>
    <w:rsid w:val="00643DA6"/>
    <w:rsid w:val="00644667"/>
    <w:rsid w:val="00644F85"/>
    <w:rsid w:val="00645DD1"/>
    <w:rsid w:val="0064613A"/>
    <w:rsid w:val="00646309"/>
    <w:rsid w:val="00646CC3"/>
    <w:rsid w:val="00647270"/>
    <w:rsid w:val="00650CEB"/>
    <w:rsid w:val="006516FF"/>
    <w:rsid w:val="00651BA3"/>
    <w:rsid w:val="0065202D"/>
    <w:rsid w:val="006522ED"/>
    <w:rsid w:val="006539C9"/>
    <w:rsid w:val="00653BFF"/>
    <w:rsid w:val="0065499A"/>
    <w:rsid w:val="00654CEA"/>
    <w:rsid w:val="00655CCC"/>
    <w:rsid w:val="006563C2"/>
    <w:rsid w:val="0065778E"/>
    <w:rsid w:val="00657B9B"/>
    <w:rsid w:val="00657CBC"/>
    <w:rsid w:val="00657FEA"/>
    <w:rsid w:val="00662F8C"/>
    <w:rsid w:val="006649D0"/>
    <w:rsid w:val="006653AD"/>
    <w:rsid w:val="00666226"/>
    <w:rsid w:val="00666A81"/>
    <w:rsid w:val="00666BAB"/>
    <w:rsid w:val="006676EA"/>
    <w:rsid w:val="006677A5"/>
    <w:rsid w:val="00667C26"/>
    <w:rsid w:val="006702BE"/>
    <w:rsid w:val="0067033C"/>
    <w:rsid w:val="0067040A"/>
    <w:rsid w:val="006709E9"/>
    <w:rsid w:val="00670B30"/>
    <w:rsid w:val="00670D76"/>
    <w:rsid w:val="00670D91"/>
    <w:rsid w:val="006714DC"/>
    <w:rsid w:val="0067180D"/>
    <w:rsid w:val="00671F17"/>
    <w:rsid w:val="00672A98"/>
    <w:rsid w:val="00673061"/>
    <w:rsid w:val="00673786"/>
    <w:rsid w:val="0067407B"/>
    <w:rsid w:val="00674683"/>
    <w:rsid w:val="00674829"/>
    <w:rsid w:val="0067644B"/>
    <w:rsid w:val="006777CD"/>
    <w:rsid w:val="00680C84"/>
    <w:rsid w:val="006812C8"/>
    <w:rsid w:val="0068145A"/>
    <w:rsid w:val="00682209"/>
    <w:rsid w:val="006823B4"/>
    <w:rsid w:val="00682618"/>
    <w:rsid w:val="00683936"/>
    <w:rsid w:val="0068476B"/>
    <w:rsid w:val="0068484C"/>
    <w:rsid w:val="00687065"/>
    <w:rsid w:val="00687297"/>
    <w:rsid w:val="00687369"/>
    <w:rsid w:val="006879FC"/>
    <w:rsid w:val="00687A85"/>
    <w:rsid w:val="00690185"/>
    <w:rsid w:val="00690465"/>
    <w:rsid w:val="00690A73"/>
    <w:rsid w:val="00691070"/>
    <w:rsid w:val="006911B4"/>
    <w:rsid w:val="0069163E"/>
    <w:rsid w:val="00691689"/>
    <w:rsid w:val="00691F38"/>
    <w:rsid w:val="0069338B"/>
    <w:rsid w:val="00693512"/>
    <w:rsid w:val="00693721"/>
    <w:rsid w:val="0069431D"/>
    <w:rsid w:val="006948A4"/>
    <w:rsid w:val="00694E35"/>
    <w:rsid w:val="00695961"/>
    <w:rsid w:val="00696768"/>
    <w:rsid w:val="00696FE1"/>
    <w:rsid w:val="00697617"/>
    <w:rsid w:val="006A039C"/>
    <w:rsid w:val="006A0766"/>
    <w:rsid w:val="006A0C43"/>
    <w:rsid w:val="006A170E"/>
    <w:rsid w:val="006A25C8"/>
    <w:rsid w:val="006A276C"/>
    <w:rsid w:val="006A357E"/>
    <w:rsid w:val="006A384A"/>
    <w:rsid w:val="006A3F10"/>
    <w:rsid w:val="006A68A5"/>
    <w:rsid w:val="006A6A16"/>
    <w:rsid w:val="006A6D85"/>
    <w:rsid w:val="006A6F7B"/>
    <w:rsid w:val="006A7357"/>
    <w:rsid w:val="006A7DB8"/>
    <w:rsid w:val="006B18E9"/>
    <w:rsid w:val="006B1A3D"/>
    <w:rsid w:val="006B1D8C"/>
    <w:rsid w:val="006B253D"/>
    <w:rsid w:val="006B2CEF"/>
    <w:rsid w:val="006B2ED3"/>
    <w:rsid w:val="006B3CA2"/>
    <w:rsid w:val="006B41A8"/>
    <w:rsid w:val="006B42B0"/>
    <w:rsid w:val="006B4DE4"/>
    <w:rsid w:val="006B5200"/>
    <w:rsid w:val="006B5FE6"/>
    <w:rsid w:val="006B6418"/>
    <w:rsid w:val="006B7455"/>
    <w:rsid w:val="006B76B1"/>
    <w:rsid w:val="006B7BC0"/>
    <w:rsid w:val="006C0B08"/>
    <w:rsid w:val="006C0E66"/>
    <w:rsid w:val="006C1761"/>
    <w:rsid w:val="006C1844"/>
    <w:rsid w:val="006C1BB3"/>
    <w:rsid w:val="006C1CC8"/>
    <w:rsid w:val="006C1D4C"/>
    <w:rsid w:val="006C1DB1"/>
    <w:rsid w:val="006C1E2E"/>
    <w:rsid w:val="006C2570"/>
    <w:rsid w:val="006C3C55"/>
    <w:rsid w:val="006C41B1"/>
    <w:rsid w:val="006C43B4"/>
    <w:rsid w:val="006C4766"/>
    <w:rsid w:val="006C4AD3"/>
    <w:rsid w:val="006C54AC"/>
    <w:rsid w:val="006C64E6"/>
    <w:rsid w:val="006C76BD"/>
    <w:rsid w:val="006C79D8"/>
    <w:rsid w:val="006C7C95"/>
    <w:rsid w:val="006C7F93"/>
    <w:rsid w:val="006C7FE6"/>
    <w:rsid w:val="006D1568"/>
    <w:rsid w:val="006D1C26"/>
    <w:rsid w:val="006D1DD6"/>
    <w:rsid w:val="006D2564"/>
    <w:rsid w:val="006D2C37"/>
    <w:rsid w:val="006D315E"/>
    <w:rsid w:val="006D32D6"/>
    <w:rsid w:val="006D46E3"/>
    <w:rsid w:val="006D4931"/>
    <w:rsid w:val="006D53D5"/>
    <w:rsid w:val="006D5934"/>
    <w:rsid w:val="006D5D14"/>
    <w:rsid w:val="006D6093"/>
    <w:rsid w:val="006D6432"/>
    <w:rsid w:val="006D64E7"/>
    <w:rsid w:val="006D657B"/>
    <w:rsid w:val="006D764E"/>
    <w:rsid w:val="006E0BC8"/>
    <w:rsid w:val="006E2077"/>
    <w:rsid w:val="006E274D"/>
    <w:rsid w:val="006E3602"/>
    <w:rsid w:val="006E4014"/>
    <w:rsid w:val="006E40E7"/>
    <w:rsid w:val="006E4A12"/>
    <w:rsid w:val="006E535C"/>
    <w:rsid w:val="006E5E1B"/>
    <w:rsid w:val="006E7653"/>
    <w:rsid w:val="006E77E4"/>
    <w:rsid w:val="006F16B7"/>
    <w:rsid w:val="006F1B75"/>
    <w:rsid w:val="006F2568"/>
    <w:rsid w:val="006F2C5D"/>
    <w:rsid w:val="006F2F63"/>
    <w:rsid w:val="006F33CB"/>
    <w:rsid w:val="006F378B"/>
    <w:rsid w:val="006F4094"/>
    <w:rsid w:val="006F4E9A"/>
    <w:rsid w:val="006F5124"/>
    <w:rsid w:val="006F5281"/>
    <w:rsid w:val="006F5D7E"/>
    <w:rsid w:val="006F6ED3"/>
    <w:rsid w:val="006F74C6"/>
    <w:rsid w:val="006F770C"/>
    <w:rsid w:val="00700588"/>
    <w:rsid w:val="00701EA6"/>
    <w:rsid w:val="00701FA9"/>
    <w:rsid w:val="00702A9B"/>
    <w:rsid w:val="00702ED0"/>
    <w:rsid w:val="0070330B"/>
    <w:rsid w:val="00703955"/>
    <w:rsid w:val="007041E0"/>
    <w:rsid w:val="00704C14"/>
    <w:rsid w:val="0070521F"/>
    <w:rsid w:val="00705859"/>
    <w:rsid w:val="00705BCC"/>
    <w:rsid w:val="00705BEA"/>
    <w:rsid w:val="00706267"/>
    <w:rsid w:val="00706A8E"/>
    <w:rsid w:val="00706F07"/>
    <w:rsid w:val="00707689"/>
    <w:rsid w:val="00707E7B"/>
    <w:rsid w:val="00710581"/>
    <w:rsid w:val="00710681"/>
    <w:rsid w:val="0071095C"/>
    <w:rsid w:val="00711593"/>
    <w:rsid w:val="007116E7"/>
    <w:rsid w:val="0071184A"/>
    <w:rsid w:val="00712482"/>
    <w:rsid w:val="007129F1"/>
    <w:rsid w:val="00712F16"/>
    <w:rsid w:val="007135EB"/>
    <w:rsid w:val="00713A7A"/>
    <w:rsid w:val="00713CA4"/>
    <w:rsid w:val="00714049"/>
    <w:rsid w:val="007166EE"/>
    <w:rsid w:val="0071681D"/>
    <w:rsid w:val="00716D9D"/>
    <w:rsid w:val="007200B5"/>
    <w:rsid w:val="00720AF8"/>
    <w:rsid w:val="00720EA5"/>
    <w:rsid w:val="00720FB8"/>
    <w:rsid w:val="00721248"/>
    <w:rsid w:val="007215E1"/>
    <w:rsid w:val="00721CD0"/>
    <w:rsid w:val="007222E6"/>
    <w:rsid w:val="007223E5"/>
    <w:rsid w:val="00722D9E"/>
    <w:rsid w:val="00722EDC"/>
    <w:rsid w:val="007230AF"/>
    <w:rsid w:val="007234FE"/>
    <w:rsid w:val="00723A64"/>
    <w:rsid w:val="00723DBB"/>
    <w:rsid w:val="00724469"/>
    <w:rsid w:val="00724EDF"/>
    <w:rsid w:val="007254DA"/>
    <w:rsid w:val="00725B21"/>
    <w:rsid w:val="0072653F"/>
    <w:rsid w:val="0072676F"/>
    <w:rsid w:val="007267B2"/>
    <w:rsid w:val="00726AF3"/>
    <w:rsid w:val="00726E97"/>
    <w:rsid w:val="00730B2E"/>
    <w:rsid w:val="00731817"/>
    <w:rsid w:val="00731991"/>
    <w:rsid w:val="00732C39"/>
    <w:rsid w:val="00732F4A"/>
    <w:rsid w:val="00733361"/>
    <w:rsid w:val="007334E5"/>
    <w:rsid w:val="00733603"/>
    <w:rsid w:val="00733B7C"/>
    <w:rsid w:val="0073410B"/>
    <w:rsid w:val="007343C8"/>
    <w:rsid w:val="00734D3A"/>
    <w:rsid w:val="00735806"/>
    <w:rsid w:val="00735DBC"/>
    <w:rsid w:val="00736488"/>
    <w:rsid w:val="0073755B"/>
    <w:rsid w:val="0073762C"/>
    <w:rsid w:val="007378AF"/>
    <w:rsid w:val="00737E43"/>
    <w:rsid w:val="00740429"/>
    <w:rsid w:val="00741084"/>
    <w:rsid w:val="00742128"/>
    <w:rsid w:val="0074264B"/>
    <w:rsid w:val="00742F6C"/>
    <w:rsid w:val="0074361D"/>
    <w:rsid w:val="007437B4"/>
    <w:rsid w:val="0074433B"/>
    <w:rsid w:val="00745254"/>
    <w:rsid w:val="007455F1"/>
    <w:rsid w:val="0074609C"/>
    <w:rsid w:val="00746DE7"/>
    <w:rsid w:val="0074732F"/>
    <w:rsid w:val="00747A6A"/>
    <w:rsid w:val="0075011A"/>
    <w:rsid w:val="0075033A"/>
    <w:rsid w:val="007517F0"/>
    <w:rsid w:val="00751F2A"/>
    <w:rsid w:val="007527C5"/>
    <w:rsid w:val="00752862"/>
    <w:rsid w:val="00753E02"/>
    <w:rsid w:val="007549C9"/>
    <w:rsid w:val="00754AF1"/>
    <w:rsid w:val="00754BC5"/>
    <w:rsid w:val="007554AA"/>
    <w:rsid w:val="0075594B"/>
    <w:rsid w:val="0075733E"/>
    <w:rsid w:val="00760229"/>
    <w:rsid w:val="00760BF3"/>
    <w:rsid w:val="007614DA"/>
    <w:rsid w:val="00761603"/>
    <w:rsid w:val="00762506"/>
    <w:rsid w:val="00762F1C"/>
    <w:rsid w:val="007630B4"/>
    <w:rsid w:val="00763214"/>
    <w:rsid w:val="00764187"/>
    <w:rsid w:val="00764293"/>
    <w:rsid w:val="00764E67"/>
    <w:rsid w:val="0076567E"/>
    <w:rsid w:val="00765C58"/>
    <w:rsid w:val="00765C81"/>
    <w:rsid w:val="00766192"/>
    <w:rsid w:val="007663DA"/>
    <w:rsid w:val="00767086"/>
    <w:rsid w:val="0077034E"/>
    <w:rsid w:val="00770A50"/>
    <w:rsid w:val="00771415"/>
    <w:rsid w:val="00771CF2"/>
    <w:rsid w:val="00772075"/>
    <w:rsid w:val="0077212D"/>
    <w:rsid w:val="00772620"/>
    <w:rsid w:val="0077271A"/>
    <w:rsid w:val="00772ACA"/>
    <w:rsid w:val="0077308A"/>
    <w:rsid w:val="00776CAF"/>
    <w:rsid w:val="007771AD"/>
    <w:rsid w:val="00777374"/>
    <w:rsid w:val="00777600"/>
    <w:rsid w:val="007779E3"/>
    <w:rsid w:val="00777CAD"/>
    <w:rsid w:val="00780A99"/>
    <w:rsid w:val="00781CAA"/>
    <w:rsid w:val="007828E1"/>
    <w:rsid w:val="00782BA9"/>
    <w:rsid w:val="007831AB"/>
    <w:rsid w:val="007836B6"/>
    <w:rsid w:val="00783707"/>
    <w:rsid w:val="0078422B"/>
    <w:rsid w:val="0078467A"/>
    <w:rsid w:val="00784A59"/>
    <w:rsid w:val="00784B87"/>
    <w:rsid w:val="00784D07"/>
    <w:rsid w:val="00785208"/>
    <w:rsid w:val="007860E2"/>
    <w:rsid w:val="00787069"/>
    <w:rsid w:val="0078712C"/>
    <w:rsid w:val="00787673"/>
    <w:rsid w:val="0079008A"/>
    <w:rsid w:val="0079179A"/>
    <w:rsid w:val="00791B1D"/>
    <w:rsid w:val="00791B72"/>
    <w:rsid w:val="00792494"/>
    <w:rsid w:val="00792506"/>
    <w:rsid w:val="007926BC"/>
    <w:rsid w:val="00792D21"/>
    <w:rsid w:val="00792D6A"/>
    <w:rsid w:val="007938A9"/>
    <w:rsid w:val="0079587E"/>
    <w:rsid w:val="00796DBF"/>
    <w:rsid w:val="0079735F"/>
    <w:rsid w:val="007A0711"/>
    <w:rsid w:val="007A07EC"/>
    <w:rsid w:val="007A0E7C"/>
    <w:rsid w:val="007A0ED9"/>
    <w:rsid w:val="007A1361"/>
    <w:rsid w:val="007A1B0A"/>
    <w:rsid w:val="007A1DBB"/>
    <w:rsid w:val="007A1E6B"/>
    <w:rsid w:val="007A21FC"/>
    <w:rsid w:val="007A3BF7"/>
    <w:rsid w:val="007A493F"/>
    <w:rsid w:val="007A4C30"/>
    <w:rsid w:val="007A4CCA"/>
    <w:rsid w:val="007A53F8"/>
    <w:rsid w:val="007A55C2"/>
    <w:rsid w:val="007A5CFF"/>
    <w:rsid w:val="007A5F75"/>
    <w:rsid w:val="007A6312"/>
    <w:rsid w:val="007A7962"/>
    <w:rsid w:val="007A7AAC"/>
    <w:rsid w:val="007B0183"/>
    <w:rsid w:val="007B05EC"/>
    <w:rsid w:val="007B0B90"/>
    <w:rsid w:val="007B0F5F"/>
    <w:rsid w:val="007B134E"/>
    <w:rsid w:val="007B1382"/>
    <w:rsid w:val="007B187F"/>
    <w:rsid w:val="007B1A39"/>
    <w:rsid w:val="007B22E4"/>
    <w:rsid w:val="007B2FFC"/>
    <w:rsid w:val="007B3B84"/>
    <w:rsid w:val="007B44C7"/>
    <w:rsid w:val="007B566A"/>
    <w:rsid w:val="007B613D"/>
    <w:rsid w:val="007B685A"/>
    <w:rsid w:val="007B7C95"/>
    <w:rsid w:val="007C0504"/>
    <w:rsid w:val="007C0B19"/>
    <w:rsid w:val="007C16EF"/>
    <w:rsid w:val="007C1DA1"/>
    <w:rsid w:val="007C1E4A"/>
    <w:rsid w:val="007C2401"/>
    <w:rsid w:val="007C26EE"/>
    <w:rsid w:val="007C2F6A"/>
    <w:rsid w:val="007C3589"/>
    <w:rsid w:val="007C4738"/>
    <w:rsid w:val="007C55E6"/>
    <w:rsid w:val="007C6743"/>
    <w:rsid w:val="007C702C"/>
    <w:rsid w:val="007D02D6"/>
    <w:rsid w:val="007D0670"/>
    <w:rsid w:val="007D09BA"/>
    <w:rsid w:val="007D1840"/>
    <w:rsid w:val="007D1B1E"/>
    <w:rsid w:val="007D20C6"/>
    <w:rsid w:val="007D277E"/>
    <w:rsid w:val="007D2D29"/>
    <w:rsid w:val="007D2FDC"/>
    <w:rsid w:val="007D360C"/>
    <w:rsid w:val="007D3844"/>
    <w:rsid w:val="007D3AD8"/>
    <w:rsid w:val="007D4B6C"/>
    <w:rsid w:val="007D5E6B"/>
    <w:rsid w:val="007D5E86"/>
    <w:rsid w:val="007D6072"/>
    <w:rsid w:val="007D61E7"/>
    <w:rsid w:val="007D6308"/>
    <w:rsid w:val="007E0DF4"/>
    <w:rsid w:val="007E11A8"/>
    <w:rsid w:val="007E1D07"/>
    <w:rsid w:val="007E1DAB"/>
    <w:rsid w:val="007E256E"/>
    <w:rsid w:val="007E26F0"/>
    <w:rsid w:val="007E2C74"/>
    <w:rsid w:val="007E2D70"/>
    <w:rsid w:val="007E3266"/>
    <w:rsid w:val="007E33FA"/>
    <w:rsid w:val="007E3779"/>
    <w:rsid w:val="007E465A"/>
    <w:rsid w:val="007E4761"/>
    <w:rsid w:val="007E4B41"/>
    <w:rsid w:val="007E6B6F"/>
    <w:rsid w:val="007E71A9"/>
    <w:rsid w:val="007E7C05"/>
    <w:rsid w:val="007F0112"/>
    <w:rsid w:val="007F014B"/>
    <w:rsid w:val="007F0D22"/>
    <w:rsid w:val="007F1528"/>
    <w:rsid w:val="007F180A"/>
    <w:rsid w:val="007F1A9B"/>
    <w:rsid w:val="007F2819"/>
    <w:rsid w:val="007F2F45"/>
    <w:rsid w:val="007F3838"/>
    <w:rsid w:val="007F54C7"/>
    <w:rsid w:val="007F59A5"/>
    <w:rsid w:val="007F5B8F"/>
    <w:rsid w:val="007F6187"/>
    <w:rsid w:val="007F6584"/>
    <w:rsid w:val="007F6A15"/>
    <w:rsid w:val="007F6F83"/>
    <w:rsid w:val="007F7A29"/>
    <w:rsid w:val="007F7D53"/>
    <w:rsid w:val="007F7D6B"/>
    <w:rsid w:val="007F7FCB"/>
    <w:rsid w:val="00800373"/>
    <w:rsid w:val="00800BDA"/>
    <w:rsid w:val="00801470"/>
    <w:rsid w:val="00802025"/>
    <w:rsid w:val="00802863"/>
    <w:rsid w:val="00804A46"/>
    <w:rsid w:val="00805262"/>
    <w:rsid w:val="00805648"/>
    <w:rsid w:val="00806130"/>
    <w:rsid w:val="00806254"/>
    <w:rsid w:val="0080671E"/>
    <w:rsid w:val="00806CC9"/>
    <w:rsid w:val="008073B4"/>
    <w:rsid w:val="00807471"/>
    <w:rsid w:val="00807596"/>
    <w:rsid w:val="00810106"/>
    <w:rsid w:val="0081089F"/>
    <w:rsid w:val="008115AA"/>
    <w:rsid w:val="00812179"/>
    <w:rsid w:val="008121B9"/>
    <w:rsid w:val="00812AB5"/>
    <w:rsid w:val="00813365"/>
    <w:rsid w:val="00813F62"/>
    <w:rsid w:val="00814E8B"/>
    <w:rsid w:val="00815CB5"/>
    <w:rsid w:val="008177BE"/>
    <w:rsid w:val="00817C35"/>
    <w:rsid w:val="0082039F"/>
    <w:rsid w:val="00821F8B"/>
    <w:rsid w:val="008238C7"/>
    <w:rsid w:val="0082458A"/>
    <w:rsid w:val="008245B3"/>
    <w:rsid w:val="00824875"/>
    <w:rsid w:val="00824CC9"/>
    <w:rsid w:val="00825889"/>
    <w:rsid w:val="00825DF7"/>
    <w:rsid w:val="00826802"/>
    <w:rsid w:val="00826BEE"/>
    <w:rsid w:val="00826D11"/>
    <w:rsid w:val="00827368"/>
    <w:rsid w:val="00827F9D"/>
    <w:rsid w:val="00830176"/>
    <w:rsid w:val="00830867"/>
    <w:rsid w:val="00830E3D"/>
    <w:rsid w:val="0083152D"/>
    <w:rsid w:val="00831925"/>
    <w:rsid w:val="00831C2D"/>
    <w:rsid w:val="00831D92"/>
    <w:rsid w:val="008326C9"/>
    <w:rsid w:val="00832C99"/>
    <w:rsid w:val="00832C9B"/>
    <w:rsid w:val="0083374B"/>
    <w:rsid w:val="0083385D"/>
    <w:rsid w:val="00833A49"/>
    <w:rsid w:val="00834752"/>
    <w:rsid w:val="0083537F"/>
    <w:rsid w:val="00835E31"/>
    <w:rsid w:val="0083621D"/>
    <w:rsid w:val="00836CDC"/>
    <w:rsid w:val="00837811"/>
    <w:rsid w:val="008401E0"/>
    <w:rsid w:val="0084101B"/>
    <w:rsid w:val="00841720"/>
    <w:rsid w:val="00841A08"/>
    <w:rsid w:val="00841FD5"/>
    <w:rsid w:val="0084377D"/>
    <w:rsid w:val="00843D45"/>
    <w:rsid w:val="00843DDA"/>
    <w:rsid w:val="008450A3"/>
    <w:rsid w:val="00845FAC"/>
    <w:rsid w:val="00845FDC"/>
    <w:rsid w:val="00846D09"/>
    <w:rsid w:val="00847AAB"/>
    <w:rsid w:val="00847C51"/>
    <w:rsid w:val="00847FF7"/>
    <w:rsid w:val="00850AAA"/>
    <w:rsid w:val="00850D44"/>
    <w:rsid w:val="008515DE"/>
    <w:rsid w:val="00851858"/>
    <w:rsid w:val="00852FD5"/>
    <w:rsid w:val="008533DD"/>
    <w:rsid w:val="0085378C"/>
    <w:rsid w:val="00853E40"/>
    <w:rsid w:val="00853E49"/>
    <w:rsid w:val="00854A73"/>
    <w:rsid w:val="00854E1E"/>
    <w:rsid w:val="008551B8"/>
    <w:rsid w:val="0085563D"/>
    <w:rsid w:val="008559CF"/>
    <w:rsid w:val="008564C5"/>
    <w:rsid w:val="00856952"/>
    <w:rsid w:val="00856A0A"/>
    <w:rsid w:val="0085772F"/>
    <w:rsid w:val="00857EB3"/>
    <w:rsid w:val="008605FD"/>
    <w:rsid w:val="008606C9"/>
    <w:rsid w:val="00860883"/>
    <w:rsid w:val="00861069"/>
    <w:rsid w:val="008613E8"/>
    <w:rsid w:val="00861B53"/>
    <w:rsid w:val="00861EB8"/>
    <w:rsid w:val="0086278E"/>
    <w:rsid w:val="008633DC"/>
    <w:rsid w:val="00863991"/>
    <w:rsid w:val="00864016"/>
    <w:rsid w:val="008651C2"/>
    <w:rsid w:val="008659F8"/>
    <w:rsid w:val="00866877"/>
    <w:rsid w:val="00866D74"/>
    <w:rsid w:val="00867B91"/>
    <w:rsid w:val="00867BC2"/>
    <w:rsid w:val="008706EC"/>
    <w:rsid w:val="008707AA"/>
    <w:rsid w:val="008708F0"/>
    <w:rsid w:val="00871124"/>
    <w:rsid w:val="00871127"/>
    <w:rsid w:val="00871B0A"/>
    <w:rsid w:val="00871C46"/>
    <w:rsid w:val="00872B24"/>
    <w:rsid w:val="008745A0"/>
    <w:rsid w:val="00875B25"/>
    <w:rsid w:val="0087661D"/>
    <w:rsid w:val="0087672C"/>
    <w:rsid w:val="00876BA5"/>
    <w:rsid w:val="00880F28"/>
    <w:rsid w:val="00880FF2"/>
    <w:rsid w:val="00881D98"/>
    <w:rsid w:val="00882A04"/>
    <w:rsid w:val="00882F04"/>
    <w:rsid w:val="00883CA7"/>
    <w:rsid w:val="008847DD"/>
    <w:rsid w:val="008849A7"/>
    <w:rsid w:val="00884F15"/>
    <w:rsid w:val="0088571F"/>
    <w:rsid w:val="00885CF9"/>
    <w:rsid w:val="0088610E"/>
    <w:rsid w:val="00886713"/>
    <w:rsid w:val="008867A3"/>
    <w:rsid w:val="00886949"/>
    <w:rsid w:val="00886A3B"/>
    <w:rsid w:val="008875A4"/>
    <w:rsid w:val="008911E5"/>
    <w:rsid w:val="00891560"/>
    <w:rsid w:val="00891B73"/>
    <w:rsid w:val="00892433"/>
    <w:rsid w:val="00892626"/>
    <w:rsid w:val="00892DBE"/>
    <w:rsid w:val="00893642"/>
    <w:rsid w:val="00893DCA"/>
    <w:rsid w:val="008941C6"/>
    <w:rsid w:val="00895238"/>
    <w:rsid w:val="00895257"/>
    <w:rsid w:val="00895FC7"/>
    <w:rsid w:val="00895FEA"/>
    <w:rsid w:val="008965AD"/>
    <w:rsid w:val="008968A4"/>
    <w:rsid w:val="0089722D"/>
    <w:rsid w:val="008976A4"/>
    <w:rsid w:val="008976DF"/>
    <w:rsid w:val="008A02B2"/>
    <w:rsid w:val="008A1D98"/>
    <w:rsid w:val="008A2876"/>
    <w:rsid w:val="008A2B1C"/>
    <w:rsid w:val="008A2C56"/>
    <w:rsid w:val="008A2C85"/>
    <w:rsid w:val="008A302E"/>
    <w:rsid w:val="008A33F8"/>
    <w:rsid w:val="008A34FE"/>
    <w:rsid w:val="008A3686"/>
    <w:rsid w:val="008A55E7"/>
    <w:rsid w:val="008A5E99"/>
    <w:rsid w:val="008A737D"/>
    <w:rsid w:val="008A7B1A"/>
    <w:rsid w:val="008B0549"/>
    <w:rsid w:val="008B1646"/>
    <w:rsid w:val="008B169C"/>
    <w:rsid w:val="008B1747"/>
    <w:rsid w:val="008B1FD8"/>
    <w:rsid w:val="008B2A0F"/>
    <w:rsid w:val="008B366C"/>
    <w:rsid w:val="008B4FEA"/>
    <w:rsid w:val="008B5181"/>
    <w:rsid w:val="008B636F"/>
    <w:rsid w:val="008B6DFC"/>
    <w:rsid w:val="008B6FA2"/>
    <w:rsid w:val="008B73A3"/>
    <w:rsid w:val="008B76B9"/>
    <w:rsid w:val="008B76CB"/>
    <w:rsid w:val="008B7B6C"/>
    <w:rsid w:val="008B7D3F"/>
    <w:rsid w:val="008C02A7"/>
    <w:rsid w:val="008C0FEA"/>
    <w:rsid w:val="008C1130"/>
    <w:rsid w:val="008C1AF4"/>
    <w:rsid w:val="008C1E94"/>
    <w:rsid w:val="008C2141"/>
    <w:rsid w:val="008C22D2"/>
    <w:rsid w:val="008C23BF"/>
    <w:rsid w:val="008C26D6"/>
    <w:rsid w:val="008C27E8"/>
    <w:rsid w:val="008C2CF2"/>
    <w:rsid w:val="008C3E6C"/>
    <w:rsid w:val="008C4687"/>
    <w:rsid w:val="008C4DD5"/>
    <w:rsid w:val="008C5985"/>
    <w:rsid w:val="008C6CB9"/>
    <w:rsid w:val="008C795C"/>
    <w:rsid w:val="008C7DD5"/>
    <w:rsid w:val="008D05D1"/>
    <w:rsid w:val="008D09C4"/>
    <w:rsid w:val="008D11C1"/>
    <w:rsid w:val="008D11D6"/>
    <w:rsid w:val="008D133A"/>
    <w:rsid w:val="008D1E61"/>
    <w:rsid w:val="008D2149"/>
    <w:rsid w:val="008D2E8C"/>
    <w:rsid w:val="008D2FE9"/>
    <w:rsid w:val="008D31A8"/>
    <w:rsid w:val="008D32C7"/>
    <w:rsid w:val="008D35B6"/>
    <w:rsid w:val="008D38BA"/>
    <w:rsid w:val="008D3B7E"/>
    <w:rsid w:val="008D4A0F"/>
    <w:rsid w:val="008D4D0D"/>
    <w:rsid w:val="008D5B34"/>
    <w:rsid w:val="008D7229"/>
    <w:rsid w:val="008D795D"/>
    <w:rsid w:val="008D7D2E"/>
    <w:rsid w:val="008E032A"/>
    <w:rsid w:val="008E1C10"/>
    <w:rsid w:val="008E20F8"/>
    <w:rsid w:val="008E23C1"/>
    <w:rsid w:val="008E278C"/>
    <w:rsid w:val="008E38D7"/>
    <w:rsid w:val="008E434E"/>
    <w:rsid w:val="008E62C4"/>
    <w:rsid w:val="008E78FC"/>
    <w:rsid w:val="008E7C3C"/>
    <w:rsid w:val="008E7D09"/>
    <w:rsid w:val="008F147C"/>
    <w:rsid w:val="008F18C3"/>
    <w:rsid w:val="008F19D2"/>
    <w:rsid w:val="008F1A2E"/>
    <w:rsid w:val="008F1CF7"/>
    <w:rsid w:val="008F209B"/>
    <w:rsid w:val="008F38A7"/>
    <w:rsid w:val="008F3A0F"/>
    <w:rsid w:val="008F42BA"/>
    <w:rsid w:val="008F44A9"/>
    <w:rsid w:val="008F44F5"/>
    <w:rsid w:val="008F6EC8"/>
    <w:rsid w:val="008F750E"/>
    <w:rsid w:val="008F7E25"/>
    <w:rsid w:val="009008BD"/>
    <w:rsid w:val="00900D22"/>
    <w:rsid w:val="00900FD9"/>
    <w:rsid w:val="00901A8C"/>
    <w:rsid w:val="00901C8C"/>
    <w:rsid w:val="0090242E"/>
    <w:rsid w:val="00902809"/>
    <w:rsid w:val="0090281B"/>
    <w:rsid w:val="00902F4F"/>
    <w:rsid w:val="00904180"/>
    <w:rsid w:val="00904A99"/>
    <w:rsid w:val="00905256"/>
    <w:rsid w:val="00905B66"/>
    <w:rsid w:val="00906A5A"/>
    <w:rsid w:val="00906FEF"/>
    <w:rsid w:val="00907D8E"/>
    <w:rsid w:val="0091148B"/>
    <w:rsid w:val="00911FC0"/>
    <w:rsid w:val="00912E62"/>
    <w:rsid w:val="009137D9"/>
    <w:rsid w:val="0091383C"/>
    <w:rsid w:val="00916340"/>
    <w:rsid w:val="00916832"/>
    <w:rsid w:val="00916907"/>
    <w:rsid w:val="00916F17"/>
    <w:rsid w:val="00921679"/>
    <w:rsid w:val="00921BBE"/>
    <w:rsid w:val="00921C79"/>
    <w:rsid w:val="00922350"/>
    <w:rsid w:val="00922A54"/>
    <w:rsid w:val="00922FA3"/>
    <w:rsid w:val="00923A74"/>
    <w:rsid w:val="00923F61"/>
    <w:rsid w:val="00924AA9"/>
    <w:rsid w:val="00924EE9"/>
    <w:rsid w:val="009252CA"/>
    <w:rsid w:val="0092548C"/>
    <w:rsid w:val="00926D96"/>
    <w:rsid w:val="00927133"/>
    <w:rsid w:val="00930555"/>
    <w:rsid w:val="0093055E"/>
    <w:rsid w:val="0093097A"/>
    <w:rsid w:val="009309B2"/>
    <w:rsid w:val="00930EAC"/>
    <w:rsid w:val="00930F5B"/>
    <w:rsid w:val="00931EC9"/>
    <w:rsid w:val="009328C9"/>
    <w:rsid w:val="0093463F"/>
    <w:rsid w:val="009354E4"/>
    <w:rsid w:val="009355CA"/>
    <w:rsid w:val="00935D13"/>
    <w:rsid w:val="00936A10"/>
    <w:rsid w:val="0093706C"/>
    <w:rsid w:val="00937209"/>
    <w:rsid w:val="0094051E"/>
    <w:rsid w:val="00940BC9"/>
    <w:rsid w:val="009428DB"/>
    <w:rsid w:val="00942A94"/>
    <w:rsid w:val="00943C62"/>
    <w:rsid w:val="00943DC6"/>
    <w:rsid w:val="00943FDC"/>
    <w:rsid w:val="00944597"/>
    <w:rsid w:val="009453FB"/>
    <w:rsid w:val="0094593C"/>
    <w:rsid w:val="0094674C"/>
    <w:rsid w:val="009508E9"/>
    <w:rsid w:val="009520B4"/>
    <w:rsid w:val="009522BC"/>
    <w:rsid w:val="009527D1"/>
    <w:rsid w:val="0095330E"/>
    <w:rsid w:val="009533C7"/>
    <w:rsid w:val="00953E08"/>
    <w:rsid w:val="0095441E"/>
    <w:rsid w:val="00954AFD"/>
    <w:rsid w:val="00954B21"/>
    <w:rsid w:val="0095690B"/>
    <w:rsid w:val="00956A54"/>
    <w:rsid w:val="009572A0"/>
    <w:rsid w:val="00957A1B"/>
    <w:rsid w:val="00960029"/>
    <w:rsid w:val="00960CD7"/>
    <w:rsid w:val="00961614"/>
    <w:rsid w:val="0096171C"/>
    <w:rsid w:val="009633BE"/>
    <w:rsid w:val="009635E0"/>
    <w:rsid w:val="009647FA"/>
    <w:rsid w:val="00964A44"/>
    <w:rsid w:val="009653E6"/>
    <w:rsid w:val="00965AAC"/>
    <w:rsid w:val="009666DE"/>
    <w:rsid w:val="00966F7B"/>
    <w:rsid w:val="00967491"/>
    <w:rsid w:val="00971F09"/>
    <w:rsid w:val="0097215B"/>
    <w:rsid w:val="00972249"/>
    <w:rsid w:val="00972701"/>
    <w:rsid w:val="00972E66"/>
    <w:rsid w:val="009731FE"/>
    <w:rsid w:val="0097328B"/>
    <w:rsid w:val="009733CB"/>
    <w:rsid w:val="00973FED"/>
    <w:rsid w:val="009740B9"/>
    <w:rsid w:val="009740D4"/>
    <w:rsid w:val="00974180"/>
    <w:rsid w:val="0097421E"/>
    <w:rsid w:val="009749AA"/>
    <w:rsid w:val="00974BB3"/>
    <w:rsid w:val="00974F69"/>
    <w:rsid w:val="009750DC"/>
    <w:rsid w:val="009757C6"/>
    <w:rsid w:val="009761BE"/>
    <w:rsid w:val="00977169"/>
    <w:rsid w:val="009775D2"/>
    <w:rsid w:val="009800F2"/>
    <w:rsid w:val="00980BAC"/>
    <w:rsid w:val="0098168E"/>
    <w:rsid w:val="0098238F"/>
    <w:rsid w:val="00983029"/>
    <w:rsid w:val="00983149"/>
    <w:rsid w:val="00983313"/>
    <w:rsid w:val="009844CB"/>
    <w:rsid w:val="00984CE1"/>
    <w:rsid w:val="00985387"/>
    <w:rsid w:val="00985492"/>
    <w:rsid w:val="00985BD1"/>
    <w:rsid w:val="00985D29"/>
    <w:rsid w:val="009863B5"/>
    <w:rsid w:val="00986FC4"/>
    <w:rsid w:val="00987EF6"/>
    <w:rsid w:val="00990E4A"/>
    <w:rsid w:val="009911C9"/>
    <w:rsid w:val="00991C93"/>
    <w:rsid w:val="00992489"/>
    <w:rsid w:val="009926C3"/>
    <w:rsid w:val="00992B5A"/>
    <w:rsid w:val="00992DBE"/>
    <w:rsid w:val="00992E2B"/>
    <w:rsid w:val="009947B9"/>
    <w:rsid w:val="009954CE"/>
    <w:rsid w:val="009955CF"/>
    <w:rsid w:val="00995FC4"/>
    <w:rsid w:val="00996296"/>
    <w:rsid w:val="009962A2"/>
    <w:rsid w:val="00996306"/>
    <w:rsid w:val="00996365"/>
    <w:rsid w:val="009A0EF4"/>
    <w:rsid w:val="009A1179"/>
    <w:rsid w:val="009A1814"/>
    <w:rsid w:val="009A2200"/>
    <w:rsid w:val="009A2FA6"/>
    <w:rsid w:val="009A3380"/>
    <w:rsid w:val="009A4F61"/>
    <w:rsid w:val="009A508F"/>
    <w:rsid w:val="009A5316"/>
    <w:rsid w:val="009A5339"/>
    <w:rsid w:val="009A6719"/>
    <w:rsid w:val="009A6CF2"/>
    <w:rsid w:val="009A73F1"/>
    <w:rsid w:val="009B1265"/>
    <w:rsid w:val="009B1738"/>
    <w:rsid w:val="009B19C2"/>
    <w:rsid w:val="009B2C3F"/>
    <w:rsid w:val="009B3313"/>
    <w:rsid w:val="009B35B6"/>
    <w:rsid w:val="009B4B23"/>
    <w:rsid w:val="009B5328"/>
    <w:rsid w:val="009B6626"/>
    <w:rsid w:val="009B7FC1"/>
    <w:rsid w:val="009B7FDD"/>
    <w:rsid w:val="009C096F"/>
    <w:rsid w:val="009C0FC6"/>
    <w:rsid w:val="009C37DA"/>
    <w:rsid w:val="009C3B1A"/>
    <w:rsid w:val="009C3B38"/>
    <w:rsid w:val="009C4C99"/>
    <w:rsid w:val="009C521E"/>
    <w:rsid w:val="009C598D"/>
    <w:rsid w:val="009C5C0A"/>
    <w:rsid w:val="009C5DE7"/>
    <w:rsid w:val="009C684D"/>
    <w:rsid w:val="009C758C"/>
    <w:rsid w:val="009C78DB"/>
    <w:rsid w:val="009C7DE2"/>
    <w:rsid w:val="009C7E30"/>
    <w:rsid w:val="009D008F"/>
    <w:rsid w:val="009D018F"/>
    <w:rsid w:val="009D1608"/>
    <w:rsid w:val="009D197D"/>
    <w:rsid w:val="009D2403"/>
    <w:rsid w:val="009D4895"/>
    <w:rsid w:val="009D4E53"/>
    <w:rsid w:val="009D5493"/>
    <w:rsid w:val="009D5A51"/>
    <w:rsid w:val="009D5DD0"/>
    <w:rsid w:val="009D5EEE"/>
    <w:rsid w:val="009D63D0"/>
    <w:rsid w:val="009D683E"/>
    <w:rsid w:val="009D6A37"/>
    <w:rsid w:val="009D7042"/>
    <w:rsid w:val="009D77B7"/>
    <w:rsid w:val="009D77F3"/>
    <w:rsid w:val="009E0BD9"/>
    <w:rsid w:val="009E0EC2"/>
    <w:rsid w:val="009E171C"/>
    <w:rsid w:val="009E1887"/>
    <w:rsid w:val="009E1F39"/>
    <w:rsid w:val="009E2126"/>
    <w:rsid w:val="009E24DD"/>
    <w:rsid w:val="009E2585"/>
    <w:rsid w:val="009E2956"/>
    <w:rsid w:val="009E2F19"/>
    <w:rsid w:val="009E3588"/>
    <w:rsid w:val="009E3619"/>
    <w:rsid w:val="009E4D18"/>
    <w:rsid w:val="009E543C"/>
    <w:rsid w:val="009E54BA"/>
    <w:rsid w:val="009E560C"/>
    <w:rsid w:val="009E56EB"/>
    <w:rsid w:val="009E5DAA"/>
    <w:rsid w:val="009E5E01"/>
    <w:rsid w:val="009E5E02"/>
    <w:rsid w:val="009E60EA"/>
    <w:rsid w:val="009E7A99"/>
    <w:rsid w:val="009F0474"/>
    <w:rsid w:val="009F06C0"/>
    <w:rsid w:val="009F097B"/>
    <w:rsid w:val="009F0E4C"/>
    <w:rsid w:val="009F1349"/>
    <w:rsid w:val="009F1453"/>
    <w:rsid w:val="009F16EB"/>
    <w:rsid w:val="009F197F"/>
    <w:rsid w:val="009F20DB"/>
    <w:rsid w:val="009F2E3E"/>
    <w:rsid w:val="009F35D4"/>
    <w:rsid w:val="009F3820"/>
    <w:rsid w:val="009F41D6"/>
    <w:rsid w:val="009F4203"/>
    <w:rsid w:val="009F4E77"/>
    <w:rsid w:val="009F5536"/>
    <w:rsid w:val="009F5B22"/>
    <w:rsid w:val="009F5C7D"/>
    <w:rsid w:val="009F6C47"/>
    <w:rsid w:val="009F6C50"/>
    <w:rsid w:val="009F765F"/>
    <w:rsid w:val="00A007C9"/>
    <w:rsid w:val="00A0092C"/>
    <w:rsid w:val="00A03514"/>
    <w:rsid w:val="00A04716"/>
    <w:rsid w:val="00A04A52"/>
    <w:rsid w:val="00A04ED6"/>
    <w:rsid w:val="00A04F38"/>
    <w:rsid w:val="00A059CC"/>
    <w:rsid w:val="00A062A8"/>
    <w:rsid w:val="00A068E5"/>
    <w:rsid w:val="00A06F13"/>
    <w:rsid w:val="00A070F2"/>
    <w:rsid w:val="00A078A1"/>
    <w:rsid w:val="00A07B60"/>
    <w:rsid w:val="00A10C46"/>
    <w:rsid w:val="00A11650"/>
    <w:rsid w:val="00A11937"/>
    <w:rsid w:val="00A1212F"/>
    <w:rsid w:val="00A12DEE"/>
    <w:rsid w:val="00A13A55"/>
    <w:rsid w:val="00A140BF"/>
    <w:rsid w:val="00A1434A"/>
    <w:rsid w:val="00A1437D"/>
    <w:rsid w:val="00A145DB"/>
    <w:rsid w:val="00A14F6A"/>
    <w:rsid w:val="00A154B4"/>
    <w:rsid w:val="00A156BD"/>
    <w:rsid w:val="00A15A2D"/>
    <w:rsid w:val="00A15B0B"/>
    <w:rsid w:val="00A1696A"/>
    <w:rsid w:val="00A16C23"/>
    <w:rsid w:val="00A1702C"/>
    <w:rsid w:val="00A17200"/>
    <w:rsid w:val="00A1744C"/>
    <w:rsid w:val="00A1787C"/>
    <w:rsid w:val="00A20CB5"/>
    <w:rsid w:val="00A229D3"/>
    <w:rsid w:val="00A22A29"/>
    <w:rsid w:val="00A22D9E"/>
    <w:rsid w:val="00A23C75"/>
    <w:rsid w:val="00A2668F"/>
    <w:rsid w:val="00A26BAC"/>
    <w:rsid w:val="00A30B3F"/>
    <w:rsid w:val="00A31C38"/>
    <w:rsid w:val="00A32117"/>
    <w:rsid w:val="00A3252B"/>
    <w:rsid w:val="00A33693"/>
    <w:rsid w:val="00A33736"/>
    <w:rsid w:val="00A3408B"/>
    <w:rsid w:val="00A35163"/>
    <w:rsid w:val="00A37A5A"/>
    <w:rsid w:val="00A40C67"/>
    <w:rsid w:val="00A412C7"/>
    <w:rsid w:val="00A429F0"/>
    <w:rsid w:val="00A42BB7"/>
    <w:rsid w:val="00A44560"/>
    <w:rsid w:val="00A44ADA"/>
    <w:rsid w:val="00A44C6F"/>
    <w:rsid w:val="00A4532F"/>
    <w:rsid w:val="00A45B32"/>
    <w:rsid w:val="00A46086"/>
    <w:rsid w:val="00A46267"/>
    <w:rsid w:val="00A468D9"/>
    <w:rsid w:val="00A47E1D"/>
    <w:rsid w:val="00A503A1"/>
    <w:rsid w:val="00A5069E"/>
    <w:rsid w:val="00A50A3C"/>
    <w:rsid w:val="00A50F0E"/>
    <w:rsid w:val="00A51F9E"/>
    <w:rsid w:val="00A52356"/>
    <w:rsid w:val="00A52885"/>
    <w:rsid w:val="00A52BDE"/>
    <w:rsid w:val="00A52E46"/>
    <w:rsid w:val="00A53175"/>
    <w:rsid w:val="00A5344F"/>
    <w:rsid w:val="00A53829"/>
    <w:rsid w:val="00A538D2"/>
    <w:rsid w:val="00A53C1C"/>
    <w:rsid w:val="00A541DA"/>
    <w:rsid w:val="00A547C6"/>
    <w:rsid w:val="00A54ED4"/>
    <w:rsid w:val="00A55595"/>
    <w:rsid w:val="00A56D25"/>
    <w:rsid w:val="00A56D68"/>
    <w:rsid w:val="00A57B66"/>
    <w:rsid w:val="00A60140"/>
    <w:rsid w:val="00A60536"/>
    <w:rsid w:val="00A61125"/>
    <w:rsid w:val="00A61708"/>
    <w:rsid w:val="00A618D6"/>
    <w:rsid w:val="00A625FF"/>
    <w:rsid w:val="00A62A7D"/>
    <w:rsid w:val="00A62E0B"/>
    <w:rsid w:val="00A62F45"/>
    <w:rsid w:val="00A637C9"/>
    <w:rsid w:val="00A63DA1"/>
    <w:rsid w:val="00A6407A"/>
    <w:rsid w:val="00A64365"/>
    <w:rsid w:val="00A64A85"/>
    <w:rsid w:val="00A6538E"/>
    <w:rsid w:val="00A655F4"/>
    <w:rsid w:val="00A65C06"/>
    <w:rsid w:val="00A66A71"/>
    <w:rsid w:val="00A67125"/>
    <w:rsid w:val="00A67275"/>
    <w:rsid w:val="00A677FC"/>
    <w:rsid w:val="00A67AB8"/>
    <w:rsid w:val="00A702D7"/>
    <w:rsid w:val="00A71640"/>
    <w:rsid w:val="00A7255E"/>
    <w:rsid w:val="00A72801"/>
    <w:rsid w:val="00A73316"/>
    <w:rsid w:val="00A739C2"/>
    <w:rsid w:val="00A73D6C"/>
    <w:rsid w:val="00A75248"/>
    <w:rsid w:val="00A753CB"/>
    <w:rsid w:val="00A75553"/>
    <w:rsid w:val="00A76A52"/>
    <w:rsid w:val="00A76EE1"/>
    <w:rsid w:val="00A7741C"/>
    <w:rsid w:val="00A774A1"/>
    <w:rsid w:val="00A81B5E"/>
    <w:rsid w:val="00A82020"/>
    <w:rsid w:val="00A820FB"/>
    <w:rsid w:val="00A8279F"/>
    <w:rsid w:val="00A82B3E"/>
    <w:rsid w:val="00A82BA3"/>
    <w:rsid w:val="00A82BD4"/>
    <w:rsid w:val="00A82E4D"/>
    <w:rsid w:val="00A83260"/>
    <w:rsid w:val="00A83A91"/>
    <w:rsid w:val="00A842F4"/>
    <w:rsid w:val="00A85740"/>
    <w:rsid w:val="00A85F18"/>
    <w:rsid w:val="00A85F72"/>
    <w:rsid w:val="00A86DC1"/>
    <w:rsid w:val="00A871A5"/>
    <w:rsid w:val="00A8745F"/>
    <w:rsid w:val="00A87534"/>
    <w:rsid w:val="00A927F7"/>
    <w:rsid w:val="00A92819"/>
    <w:rsid w:val="00A92B07"/>
    <w:rsid w:val="00A92B95"/>
    <w:rsid w:val="00A92D15"/>
    <w:rsid w:val="00A93348"/>
    <w:rsid w:val="00A93364"/>
    <w:rsid w:val="00A9340C"/>
    <w:rsid w:val="00A9352E"/>
    <w:rsid w:val="00A963D3"/>
    <w:rsid w:val="00A970B2"/>
    <w:rsid w:val="00A975F7"/>
    <w:rsid w:val="00A97D98"/>
    <w:rsid w:val="00AA08A6"/>
    <w:rsid w:val="00AA1CB8"/>
    <w:rsid w:val="00AA3186"/>
    <w:rsid w:val="00AA3D07"/>
    <w:rsid w:val="00AA3F61"/>
    <w:rsid w:val="00AA4533"/>
    <w:rsid w:val="00AA4981"/>
    <w:rsid w:val="00AA5515"/>
    <w:rsid w:val="00AA5ED8"/>
    <w:rsid w:val="00AA63C4"/>
    <w:rsid w:val="00AA7219"/>
    <w:rsid w:val="00AB1770"/>
    <w:rsid w:val="00AB1BEA"/>
    <w:rsid w:val="00AB1ECA"/>
    <w:rsid w:val="00AB3039"/>
    <w:rsid w:val="00AB30CF"/>
    <w:rsid w:val="00AB3773"/>
    <w:rsid w:val="00AB3A06"/>
    <w:rsid w:val="00AB3DF5"/>
    <w:rsid w:val="00AB4FFD"/>
    <w:rsid w:val="00AB5253"/>
    <w:rsid w:val="00AB52A9"/>
    <w:rsid w:val="00AB55E5"/>
    <w:rsid w:val="00AB6141"/>
    <w:rsid w:val="00AB6584"/>
    <w:rsid w:val="00AB6CA2"/>
    <w:rsid w:val="00AB7502"/>
    <w:rsid w:val="00AB75EF"/>
    <w:rsid w:val="00AB78CE"/>
    <w:rsid w:val="00AB793C"/>
    <w:rsid w:val="00AB7B8C"/>
    <w:rsid w:val="00AB7C0C"/>
    <w:rsid w:val="00AC0037"/>
    <w:rsid w:val="00AC1F69"/>
    <w:rsid w:val="00AC1FA2"/>
    <w:rsid w:val="00AC2616"/>
    <w:rsid w:val="00AC2D1E"/>
    <w:rsid w:val="00AC4A1C"/>
    <w:rsid w:val="00AC56BF"/>
    <w:rsid w:val="00AC57BF"/>
    <w:rsid w:val="00AC6836"/>
    <w:rsid w:val="00AC6EC2"/>
    <w:rsid w:val="00AC7A33"/>
    <w:rsid w:val="00AD008E"/>
    <w:rsid w:val="00AD03E5"/>
    <w:rsid w:val="00AD0EC9"/>
    <w:rsid w:val="00AD11A4"/>
    <w:rsid w:val="00AD12DD"/>
    <w:rsid w:val="00AD1731"/>
    <w:rsid w:val="00AD1DE7"/>
    <w:rsid w:val="00AD2033"/>
    <w:rsid w:val="00AD20E0"/>
    <w:rsid w:val="00AD3164"/>
    <w:rsid w:val="00AD3FAC"/>
    <w:rsid w:val="00AD58CF"/>
    <w:rsid w:val="00AD5A56"/>
    <w:rsid w:val="00AD5CD9"/>
    <w:rsid w:val="00AD74BD"/>
    <w:rsid w:val="00AD7DDA"/>
    <w:rsid w:val="00AD7E74"/>
    <w:rsid w:val="00AE084B"/>
    <w:rsid w:val="00AE0EEF"/>
    <w:rsid w:val="00AE109A"/>
    <w:rsid w:val="00AE1285"/>
    <w:rsid w:val="00AE14D1"/>
    <w:rsid w:val="00AE1FAA"/>
    <w:rsid w:val="00AE21CB"/>
    <w:rsid w:val="00AE2E62"/>
    <w:rsid w:val="00AE373B"/>
    <w:rsid w:val="00AE3C39"/>
    <w:rsid w:val="00AE4643"/>
    <w:rsid w:val="00AE49D4"/>
    <w:rsid w:val="00AE4C0E"/>
    <w:rsid w:val="00AE4CFF"/>
    <w:rsid w:val="00AE51B1"/>
    <w:rsid w:val="00AE56CC"/>
    <w:rsid w:val="00AE5741"/>
    <w:rsid w:val="00AE5B34"/>
    <w:rsid w:val="00AE5E04"/>
    <w:rsid w:val="00AE6629"/>
    <w:rsid w:val="00AE79BB"/>
    <w:rsid w:val="00AE7C5E"/>
    <w:rsid w:val="00AF0221"/>
    <w:rsid w:val="00AF0390"/>
    <w:rsid w:val="00AF0449"/>
    <w:rsid w:val="00AF08CA"/>
    <w:rsid w:val="00AF101B"/>
    <w:rsid w:val="00AF13F9"/>
    <w:rsid w:val="00AF266B"/>
    <w:rsid w:val="00AF29F4"/>
    <w:rsid w:val="00AF2A87"/>
    <w:rsid w:val="00AF359E"/>
    <w:rsid w:val="00AF4AA4"/>
    <w:rsid w:val="00AF4C17"/>
    <w:rsid w:val="00AF4E70"/>
    <w:rsid w:val="00AF6812"/>
    <w:rsid w:val="00AF6D12"/>
    <w:rsid w:val="00AF6E4D"/>
    <w:rsid w:val="00B004FF"/>
    <w:rsid w:val="00B0080D"/>
    <w:rsid w:val="00B00938"/>
    <w:rsid w:val="00B00E03"/>
    <w:rsid w:val="00B01BC4"/>
    <w:rsid w:val="00B01C90"/>
    <w:rsid w:val="00B035C7"/>
    <w:rsid w:val="00B03779"/>
    <w:rsid w:val="00B037FA"/>
    <w:rsid w:val="00B0397D"/>
    <w:rsid w:val="00B03C6E"/>
    <w:rsid w:val="00B04519"/>
    <w:rsid w:val="00B04574"/>
    <w:rsid w:val="00B04F3B"/>
    <w:rsid w:val="00B056D0"/>
    <w:rsid w:val="00B056EE"/>
    <w:rsid w:val="00B06222"/>
    <w:rsid w:val="00B06A2F"/>
    <w:rsid w:val="00B06D12"/>
    <w:rsid w:val="00B0700B"/>
    <w:rsid w:val="00B07850"/>
    <w:rsid w:val="00B11A87"/>
    <w:rsid w:val="00B123B6"/>
    <w:rsid w:val="00B12EC5"/>
    <w:rsid w:val="00B131F8"/>
    <w:rsid w:val="00B1364F"/>
    <w:rsid w:val="00B13EDA"/>
    <w:rsid w:val="00B14499"/>
    <w:rsid w:val="00B1509E"/>
    <w:rsid w:val="00B157B9"/>
    <w:rsid w:val="00B15ED3"/>
    <w:rsid w:val="00B15F03"/>
    <w:rsid w:val="00B16331"/>
    <w:rsid w:val="00B165EC"/>
    <w:rsid w:val="00B1668C"/>
    <w:rsid w:val="00B172AC"/>
    <w:rsid w:val="00B176AD"/>
    <w:rsid w:val="00B17B0F"/>
    <w:rsid w:val="00B2067D"/>
    <w:rsid w:val="00B20DE4"/>
    <w:rsid w:val="00B2171C"/>
    <w:rsid w:val="00B21943"/>
    <w:rsid w:val="00B21F80"/>
    <w:rsid w:val="00B23B16"/>
    <w:rsid w:val="00B23C5D"/>
    <w:rsid w:val="00B23D62"/>
    <w:rsid w:val="00B24BF3"/>
    <w:rsid w:val="00B25445"/>
    <w:rsid w:val="00B25AC8"/>
    <w:rsid w:val="00B26478"/>
    <w:rsid w:val="00B26948"/>
    <w:rsid w:val="00B26FD2"/>
    <w:rsid w:val="00B27140"/>
    <w:rsid w:val="00B271C3"/>
    <w:rsid w:val="00B2798F"/>
    <w:rsid w:val="00B30109"/>
    <w:rsid w:val="00B30EA9"/>
    <w:rsid w:val="00B311D3"/>
    <w:rsid w:val="00B317EE"/>
    <w:rsid w:val="00B32647"/>
    <w:rsid w:val="00B32EF6"/>
    <w:rsid w:val="00B3543C"/>
    <w:rsid w:val="00B35716"/>
    <w:rsid w:val="00B36098"/>
    <w:rsid w:val="00B36BB8"/>
    <w:rsid w:val="00B36C7F"/>
    <w:rsid w:val="00B37531"/>
    <w:rsid w:val="00B37549"/>
    <w:rsid w:val="00B37666"/>
    <w:rsid w:val="00B37923"/>
    <w:rsid w:val="00B423A8"/>
    <w:rsid w:val="00B424D6"/>
    <w:rsid w:val="00B429C6"/>
    <w:rsid w:val="00B43195"/>
    <w:rsid w:val="00B4368E"/>
    <w:rsid w:val="00B43843"/>
    <w:rsid w:val="00B439CA"/>
    <w:rsid w:val="00B43B8E"/>
    <w:rsid w:val="00B44E20"/>
    <w:rsid w:val="00B450CF"/>
    <w:rsid w:val="00B45103"/>
    <w:rsid w:val="00B45878"/>
    <w:rsid w:val="00B4597C"/>
    <w:rsid w:val="00B4615A"/>
    <w:rsid w:val="00B46CBF"/>
    <w:rsid w:val="00B47AEC"/>
    <w:rsid w:val="00B5055E"/>
    <w:rsid w:val="00B50BC3"/>
    <w:rsid w:val="00B50FBE"/>
    <w:rsid w:val="00B519F3"/>
    <w:rsid w:val="00B51C47"/>
    <w:rsid w:val="00B51F43"/>
    <w:rsid w:val="00B52271"/>
    <w:rsid w:val="00B526E5"/>
    <w:rsid w:val="00B52973"/>
    <w:rsid w:val="00B5354F"/>
    <w:rsid w:val="00B537FA"/>
    <w:rsid w:val="00B53CCD"/>
    <w:rsid w:val="00B542A4"/>
    <w:rsid w:val="00B54689"/>
    <w:rsid w:val="00B54EFD"/>
    <w:rsid w:val="00B5532A"/>
    <w:rsid w:val="00B5546B"/>
    <w:rsid w:val="00B55630"/>
    <w:rsid w:val="00B558EC"/>
    <w:rsid w:val="00B55DFD"/>
    <w:rsid w:val="00B5686F"/>
    <w:rsid w:val="00B56A59"/>
    <w:rsid w:val="00B56EB1"/>
    <w:rsid w:val="00B56EBF"/>
    <w:rsid w:val="00B60289"/>
    <w:rsid w:val="00B604FA"/>
    <w:rsid w:val="00B60B95"/>
    <w:rsid w:val="00B60F3A"/>
    <w:rsid w:val="00B61EC1"/>
    <w:rsid w:val="00B6220B"/>
    <w:rsid w:val="00B63721"/>
    <w:rsid w:val="00B6408D"/>
    <w:rsid w:val="00B6458A"/>
    <w:rsid w:val="00B64C40"/>
    <w:rsid w:val="00B653CB"/>
    <w:rsid w:val="00B654B7"/>
    <w:rsid w:val="00B65A58"/>
    <w:rsid w:val="00B676B7"/>
    <w:rsid w:val="00B70048"/>
    <w:rsid w:val="00B70313"/>
    <w:rsid w:val="00B7089D"/>
    <w:rsid w:val="00B70A00"/>
    <w:rsid w:val="00B71110"/>
    <w:rsid w:val="00B719F8"/>
    <w:rsid w:val="00B71DF1"/>
    <w:rsid w:val="00B721C4"/>
    <w:rsid w:val="00B7396D"/>
    <w:rsid w:val="00B7408A"/>
    <w:rsid w:val="00B741A5"/>
    <w:rsid w:val="00B75659"/>
    <w:rsid w:val="00B75761"/>
    <w:rsid w:val="00B76392"/>
    <w:rsid w:val="00B771AE"/>
    <w:rsid w:val="00B779DE"/>
    <w:rsid w:val="00B802B0"/>
    <w:rsid w:val="00B80746"/>
    <w:rsid w:val="00B809BD"/>
    <w:rsid w:val="00B809F3"/>
    <w:rsid w:val="00B80D11"/>
    <w:rsid w:val="00B81594"/>
    <w:rsid w:val="00B81887"/>
    <w:rsid w:val="00B829E4"/>
    <w:rsid w:val="00B82AED"/>
    <w:rsid w:val="00B82E01"/>
    <w:rsid w:val="00B840AD"/>
    <w:rsid w:val="00B85028"/>
    <w:rsid w:val="00B85E72"/>
    <w:rsid w:val="00B869AF"/>
    <w:rsid w:val="00B86EE2"/>
    <w:rsid w:val="00B87226"/>
    <w:rsid w:val="00B8740A"/>
    <w:rsid w:val="00B905FD"/>
    <w:rsid w:val="00B90696"/>
    <w:rsid w:val="00B90BB5"/>
    <w:rsid w:val="00B90DA4"/>
    <w:rsid w:val="00B91156"/>
    <w:rsid w:val="00B9182B"/>
    <w:rsid w:val="00B91D57"/>
    <w:rsid w:val="00B924D0"/>
    <w:rsid w:val="00B93BAB"/>
    <w:rsid w:val="00B94719"/>
    <w:rsid w:val="00B950E8"/>
    <w:rsid w:val="00B95D4F"/>
    <w:rsid w:val="00B95D94"/>
    <w:rsid w:val="00B9616C"/>
    <w:rsid w:val="00B96507"/>
    <w:rsid w:val="00B966CE"/>
    <w:rsid w:val="00B97510"/>
    <w:rsid w:val="00BA11DF"/>
    <w:rsid w:val="00BA23B2"/>
    <w:rsid w:val="00BA28CA"/>
    <w:rsid w:val="00BA3383"/>
    <w:rsid w:val="00BA3535"/>
    <w:rsid w:val="00BA401C"/>
    <w:rsid w:val="00BA404E"/>
    <w:rsid w:val="00BA508E"/>
    <w:rsid w:val="00BA57B2"/>
    <w:rsid w:val="00BA5B41"/>
    <w:rsid w:val="00BA5C71"/>
    <w:rsid w:val="00BA6404"/>
    <w:rsid w:val="00BA6CC3"/>
    <w:rsid w:val="00BA6DD2"/>
    <w:rsid w:val="00BA7122"/>
    <w:rsid w:val="00BB0D60"/>
    <w:rsid w:val="00BB1C72"/>
    <w:rsid w:val="00BB2216"/>
    <w:rsid w:val="00BB28D9"/>
    <w:rsid w:val="00BB3187"/>
    <w:rsid w:val="00BB31A1"/>
    <w:rsid w:val="00BB4D8F"/>
    <w:rsid w:val="00BB4DC2"/>
    <w:rsid w:val="00BB4DFC"/>
    <w:rsid w:val="00BB5C56"/>
    <w:rsid w:val="00BB6293"/>
    <w:rsid w:val="00BB69FA"/>
    <w:rsid w:val="00BB718A"/>
    <w:rsid w:val="00BC088D"/>
    <w:rsid w:val="00BC0A1F"/>
    <w:rsid w:val="00BC0CD8"/>
    <w:rsid w:val="00BC0EC9"/>
    <w:rsid w:val="00BC1304"/>
    <w:rsid w:val="00BC259C"/>
    <w:rsid w:val="00BC27CB"/>
    <w:rsid w:val="00BC2E4C"/>
    <w:rsid w:val="00BC302B"/>
    <w:rsid w:val="00BC4075"/>
    <w:rsid w:val="00BC466A"/>
    <w:rsid w:val="00BC4990"/>
    <w:rsid w:val="00BC4D54"/>
    <w:rsid w:val="00BC4DA6"/>
    <w:rsid w:val="00BC5156"/>
    <w:rsid w:val="00BC5271"/>
    <w:rsid w:val="00BC605D"/>
    <w:rsid w:val="00BC7F35"/>
    <w:rsid w:val="00BD08D6"/>
    <w:rsid w:val="00BD0EBB"/>
    <w:rsid w:val="00BD16BF"/>
    <w:rsid w:val="00BD179B"/>
    <w:rsid w:val="00BD1A62"/>
    <w:rsid w:val="00BD2AD9"/>
    <w:rsid w:val="00BD3944"/>
    <w:rsid w:val="00BD441D"/>
    <w:rsid w:val="00BD44D2"/>
    <w:rsid w:val="00BD495B"/>
    <w:rsid w:val="00BD4D16"/>
    <w:rsid w:val="00BD50D7"/>
    <w:rsid w:val="00BD55F8"/>
    <w:rsid w:val="00BD5B94"/>
    <w:rsid w:val="00BD5F1F"/>
    <w:rsid w:val="00BD6289"/>
    <w:rsid w:val="00BD656F"/>
    <w:rsid w:val="00BD6572"/>
    <w:rsid w:val="00BD71DE"/>
    <w:rsid w:val="00BD7AEC"/>
    <w:rsid w:val="00BD7D02"/>
    <w:rsid w:val="00BE0C6B"/>
    <w:rsid w:val="00BE139A"/>
    <w:rsid w:val="00BE13D4"/>
    <w:rsid w:val="00BE15F9"/>
    <w:rsid w:val="00BE1E14"/>
    <w:rsid w:val="00BE1E45"/>
    <w:rsid w:val="00BE1FBD"/>
    <w:rsid w:val="00BE3946"/>
    <w:rsid w:val="00BE44CB"/>
    <w:rsid w:val="00BE4AE7"/>
    <w:rsid w:val="00BE5173"/>
    <w:rsid w:val="00BE535C"/>
    <w:rsid w:val="00BE5A81"/>
    <w:rsid w:val="00BE5F98"/>
    <w:rsid w:val="00BE678C"/>
    <w:rsid w:val="00BE6D34"/>
    <w:rsid w:val="00BE701A"/>
    <w:rsid w:val="00BE73E0"/>
    <w:rsid w:val="00BF0190"/>
    <w:rsid w:val="00BF2AF4"/>
    <w:rsid w:val="00BF3B79"/>
    <w:rsid w:val="00BF3F66"/>
    <w:rsid w:val="00BF4BBC"/>
    <w:rsid w:val="00BF71B7"/>
    <w:rsid w:val="00BF74C1"/>
    <w:rsid w:val="00C0040E"/>
    <w:rsid w:val="00C005EA"/>
    <w:rsid w:val="00C00696"/>
    <w:rsid w:val="00C0182E"/>
    <w:rsid w:val="00C01DAD"/>
    <w:rsid w:val="00C01EDF"/>
    <w:rsid w:val="00C022F9"/>
    <w:rsid w:val="00C02B79"/>
    <w:rsid w:val="00C0401A"/>
    <w:rsid w:val="00C048A3"/>
    <w:rsid w:val="00C04E31"/>
    <w:rsid w:val="00C05A62"/>
    <w:rsid w:val="00C06387"/>
    <w:rsid w:val="00C06419"/>
    <w:rsid w:val="00C06E52"/>
    <w:rsid w:val="00C0760D"/>
    <w:rsid w:val="00C113E4"/>
    <w:rsid w:val="00C113F6"/>
    <w:rsid w:val="00C11D9C"/>
    <w:rsid w:val="00C11E39"/>
    <w:rsid w:val="00C12180"/>
    <w:rsid w:val="00C12262"/>
    <w:rsid w:val="00C12E49"/>
    <w:rsid w:val="00C1300D"/>
    <w:rsid w:val="00C13267"/>
    <w:rsid w:val="00C13509"/>
    <w:rsid w:val="00C13D50"/>
    <w:rsid w:val="00C14655"/>
    <w:rsid w:val="00C14CD8"/>
    <w:rsid w:val="00C1526B"/>
    <w:rsid w:val="00C15554"/>
    <w:rsid w:val="00C15851"/>
    <w:rsid w:val="00C159DA"/>
    <w:rsid w:val="00C15EAA"/>
    <w:rsid w:val="00C15F8B"/>
    <w:rsid w:val="00C16D1B"/>
    <w:rsid w:val="00C17156"/>
    <w:rsid w:val="00C17448"/>
    <w:rsid w:val="00C1767F"/>
    <w:rsid w:val="00C17EAE"/>
    <w:rsid w:val="00C206C2"/>
    <w:rsid w:val="00C20841"/>
    <w:rsid w:val="00C21488"/>
    <w:rsid w:val="00C21C00"/>
    <w:rsid w:val="00C21CDA"/>
    <w:rsid w:val="00C21DC3"/>
    <w:rsid w:val="00C21EFA"/>
    <w:rsid w:val="00C225E1"/>
    <w:rsid w:val="00C239F7"/>
    <w:rsid w:val="00C23E37"/>
    <w:rsid w:val="00C23E76"/>
    <w:rsid w:val="00C24537"/>
    <w:rsid w:val="00C24898"/>
    <w:rsid w:val="00C24C5C"/>
    <w:rsid w:val="00C252BB"/>
    <w:rsid w:val="00C25362"/>
    <w:rsid w:val="00C26030"/>
    <w:rsid w:val="00C263EA"/>
    <w:rsid w:val="00C26E52"/>
    <w:rsid w:val="00C271D9"/>
    <w:rsid w:val="00C27B6D"/>
    <w:rsid w:val="00C27CA5"/>
    <w:rsid w:val="00C30413"/>
    <w:rsid w:val="00C3115C"/>
    <w:rsid w:val="00C3123F"/>
    <w:rsid w:val="00C314FE"/>
    <w:rsid w:val="00C31E13"/>
    <w:rsid w:val="00C33804"/>
    <w:rsid w:val="00C3395B"/>
    <w:rsid w:val="00C33FC2"/>
    <w:rsid w:val="00C34189"/>
    <w:rsid w:val="00C341A5"/>
    <w:rsid w:val="00C35189"/>
    <w:rsid w:val="00C354F0"/>
    <w:rsid w:val="00C35AB2"/>
    <w:rsid w:val="00C36464"/>
    <w:rsid w:val="00C37B9D"/>
    <w:rsid w:val="00C41786"/>
    <w:rsid w:val="00C4191C"/>
    <w:rsid w:val="00C41E5E"/>
    <w:rsid w:val="00C420BF"/>
    <w:rsid w:val="00C421C5"/>
    <w:rsid w:val="00C42D3B"/>
    <w:rsid w:val="00C433DF"/>
    <w:rsid w:val="00C4356E"/>
    <w:rsid w:val="00C44946"/>
    <w:rsid w:val="00C44B33"/>
    <w:rsid w:val="00C44D1D"/>
    <w:rsid w:val="00C44D6A"/>
    <w:rsid w:val="00C44D6D"/>
    <w:rsid w:val="00C44F38"/>
    <w:rsid w:val="00C464AA"/>
    <w:rsid w:val="00C472B2"/>
    <w:rsid w:val="00C50923"/>
    <w:rsid w:val="00C50F18"/>
    <w:rsid w:val="00C50F28"/>
    <w:rsid w:val="00C51C82"/>
    <w:rsid w:val="00C5233A"/>
    <w:rsid w:val="00C5265F"/>
    <w:rsid w:val="00C52BF8"/>
    <w:rsid w:val="00C52D46"/>
    <w:rsid w:val="00C53539"/>
    <w:rsid w:val="00C53B22"/>
    <w:rsid w:val="00C53EF6"/>
    <w:rsid w:val="00C5451E"/>
    <w:rsid w:val="00C5456B"/>
    <w:rsid w:val="00C54C7F"/>
    <w:rsid w:val="00C5578F"/>
    <w:rsid w:val="00C56E69"/>
    <w:rsid w:val="00C571FC"/>
    <w:rsid w:val="00C57760"/>
    <w:rsid w:val="00C57766"/>
    <w:rsid w:val="00C5792F"/>
    <w:rsid w:val="00C57B5F"/>
    <w:rsid w:val="00C57D01"/>
    <w:rsid w:val="00C57E0C"/>
    <w:rsid w:val="00C6130E"/>
    <w:rsid w:val="00C616E0"/>
    <w:rsid w:val="00C6233B"/>
    <w:rsid w:val="00C6280C"/>
    <w:rsid w:val="00C62A52"/>
    <w:rsid w:val="00C63B6A"/>
    <w:rsid w:val="00C64061"/>
    <w:rsid w:val="00C64465"/>
    <w:rsid w:val="00C64FFB"/>
    <w:rsid w:val="00C650CA"/>
    <w:rsid w:val="00C65567"/>
    <w:rsid w:val="00C66138"/>
    <w:rsid w:val="00C666E2"/>
    <w:rsid w:val="00C67574"/>
    <w:rsid w:val="00C676E7"/>
    <w:rsid w:val="00C70967"/>
    <w:rsid w:val="00C70FF3"/>
    <w:rsid w:val="00C710E4"/>
    <w:rsid w:val="00C71920"/>
    <w:rsid w:val="00C720AD"/>
    <w:rsid w:val="00C72408"/>
    <w:rsid w:val="00C73213"/>
    <w:rsid w:val="00C740A8"/>
    <w:rsid w:val="00C74483"/>
    <w:rsid w:val="00C74D3D"/>
    <w:rsid w:val="00C750E5"/>
    <w:rsid w:val="00C757BD"/>
    <w:rsid w:val="00C75983"/>
    <w:rsid w:val="00C76BFB"/>
    <w:rsid w:val="00C8040B"/>
    <w:rsid w:val="00C80B94"/>
    <w:rsid w:val="00C80E41"/>
    <w:rsid w:val="00C812E3"/>
    <w:rsid w:val="00C817F6"/>
    <w:rsid w:val="00C81D84"/>
    <w:rsid w:val="00C82029"/>
    <w:rsid w:val="00C83F4F"/>
    <w:rsid w:val="00C84177"/>
    <w:rsid w:val="00C84CF3"/>
    <w:rsid w:val="00C85794"/>
    <w:rsid w:val="00C85B1F"/>
    <w:rsid w:val="00C85BCF"/>
    <w:rsid w:val="00C85C10"/>
    <w:rsid w:val="00C864EC"/>
    <w:rsid w:val="00C8745A"/>
    <w:rsid w:val="00C8773B"/>
    <w:rsid w:val="00C90B4A"/>
    <w:rsid w:val="00C913A6"/>
    <w:rsid w:val="00C935F4"/>
    <w:rsid w:val="00C938FC"/>
    <w:rsid w:val="00C942F7"/>
    <w:rsid w:val="00C95029"/>
    <w:rsid w:val="00C95B56"/>
    <w:rsid w:val="00C95C99"/>
    <w:rsid w:val="00C96451"/>
    <w:rsid w:val="00C96CB1"/>
    <w:rsid w:val="00C96FBD"/>
    <w:rsid w:val="00C9761D"/>
    <w:rsid w:val="00CA11E5"/>
    <w:rsid w:val="00CA1664"/>
    <w:rsid w:val="00CA1B14"/>
    <w:rsid w:val="00CA20C3"/>
    <w:rsid w:val="00CA255A"/>
    <w:rsid w:val="00CA273E"/>
    <w:rsid w:val="00CA2A77"/>
    <w:rsid w:val="00CA3621"/>
    <w:rsid w:val="00CA42F0"/>
    <w:rsid w:val="00CA4989"/>
    <w:rsid w:val="00CA5759"/>
    <w:rsid w:val="00CA6142"/>
    <w:rsid w:val="00CB0A5C"/>
    <w:rsid w:val="00CB1028"/>
    <w:rsid w:val="00CB13D7"/>
    <w:rsid w:val="00CB16CC"/>
    <w:rsid w:val="00CB1836"/>
    <w:rsid w:val="00CB2391"/>
    <w:rsid w:val="00CB248F"/>
    <w:rsid w:val="00CB296E"/>
    <w:rsid w:val="00CB2A29"/>
    <w:rsid w:val="00CB4813"/>
    <w:rsid w:val="00CB481C"/>
    <w:rsid w:val="00CB4A8F"/>
    <w:rsid w:val="00CB4E36"/>
    <w:rsid w:val="00CB6314"/>
    <w:rsid w:val="00CB689D"/>
    <w:rsid w:val="00CB6CD4"/>
    <w:rsid w:val="00CB6D64"/>
    <w:rsid w:val="00CB7183"/>
    <w:rsid w:val="00CB747F"/>
    <w:rsid w:val="00CC02EB"/>
    <w:rsid w:val="00CC099D"/>
    <w:rsid w:val="00CC0A5C"/>
    <w:rsid w:val="00CC0A9D"/>
    <w:rsid w:val="00CC19DD"/>
    <w:rsid w:val="00CC2996"/>
    <w:rsid w:val="00CC2AFA"/>
    <w:rsid w:val="00CC2BBF"/>
    <w:rsid w:val="00CC3C8A"/>
    <w:rsid w:val="00CC3EC2"/>
    <w:rsid w:val="00CC467E"/>
    <w:rsid w:val="00CC4ADF"/>
    <w:rsid w:val="00CC53D8"/>
    <w:rsid w:val="00CC6749"/>
    <w:rsid w:val="00CC6A02"/>
    <w:rsid w:val="00CC70B7"/>
    <w:rsid w:val="00CC7139"/>
    <w:rsid w:val="00CC7D56"/>
    <w:rsid w:val="00CD05C1"/>
    <w:rsid w:val="00CD06EF"/>
    <w:rsid w:val="00CD28ED"/>
    <w:rsid w:val="00CD4E29"/>
    <w:rsid w:val="00CD5AB8"/>
    <w:rsid w:val="00CD5D7B"/>
    <w:rsid w:val="00CD5DF8"/>
    <w:rsid w:val="00CD6854"/>
    <w:rsid w:val="00CD718B"/>
    <w:rsid w:val="00CD71C4"/>
    <w:rsid w:val="00CE07E1"/>
    <w:rsid w:val="00CE0E73"/>
    <w:rsid w:val="00CE112D"/>
    <w:rsid w:val="00CE1281"/>
    <w:rsid w:val="00CE1E6D"/>
    <w:rsid w:val="00CE1EBB"/>
    <w:rsid w:val="00CE23BD"/>
    <w:rsid w:val="00CE3707"/>
    <w:rsid w:val="00CE5E41"/>
    <w:rsid w:val="00CE5E78"/>
    <w:rsid w:val="00CE5FBB"/>
    <w:rsid w:val="00CE6B12"/>
    <w:rsid w:val="00CE6E04"/>
    <w:rsid w:val="00CE71AB"/>
    <w:rsid w:val="00CF04B6"/>
    <w:rsid w:val="00CF097D"/>
    <w:rsid w:val="00CF0BE6"/>
    <w:rsid w:val="00CF0F00"/>
    <w:rsid w:val="00CF109D"/>
    <w:rsid w:val="00CF1A21"/>
    <w:rsid w:val="00CF204E"/>
    <w:rsid w:val="00CF237A"/>
    <w:rsid w:val="00CF299F"/>
    <w:rsid w:val="00CF2E9C"/>
    <w:rsid w:val="00CF3D9A"/>
    <w:rsid w:val="00CF4034"/>
    <w:rsid w:val="00CF4141"/>
    <w:rsid w:val="00CF473C"/>
    <w:rsid w:val="00CF5222"/>
    <w:rsid w:val="00CF53A9"/>
    <w:rsid w:val="00CF57D3"/>
    <w:rsid w:val="00CF5B32"/>
    <w:rsid w:val="00CF61CC"/>
    <w:rsid w:val="00CF6377"/>
    <w:rsid w:val="00CF6BDB"/>
    <w:rsid w:val="00CF6C3B"/>
    <w:rsid w:val="00CF6E56"/>
    <w:rsid w:val="00CF7BDC"/>
    <w:rsid w:val="00CF7E7E"/>
    <w:rsid w:val="00D000C3"/>
    <w:rsid w:val="00D004F4"/>
    <w:rsid w:val="00D0077B"/>
    <w:rsid w:val="00D00B4C"/>
    <w:rsid w:val="00D00B6B"/>
    <w:rsid w:val="00D01237"/>
    <w:rsid w:val="00D01A35"/>
    <w:rsid w:val="00D01C88"/>
    <w:rsid w:val="00D020EB"/>
    <w:rsid w:val="00D0227C"/>
    <w:rsid w:val="00D024EE"/>
    <w:rsid w:val="00D025C9"/>
    <w:rsid w:val="00D02619"/>
    <w:rsid w:val="00D02651"/>
    <w:rsid w:val="00D02F33"/>
    <w:rsid w:val="00D03A9D"/>
    <w:rsid w:val="00D03AB9"/>
    <w:rsid w:val="00D03AC5"/>
    <w:rsid w:val="00D03C38"/>
    <w:rsid w:val="00D04179"/>
    <w:rsid w:val="00D04E4A"/>
    <w:rsid w:val="00D05E1E"/>
    <w:rsid w:val="00D06E6A"/>
    <w:rsid w:val="00D074A6"/>
    <w:rsid w:val="00D0796F"/>
    <w:rsid w:val="00D07FBD"/>
    <w:rsid w:val="00D102BB"/>
    <w:rsid w:val="00D106D2"/>
    <w:rsid w:val="00D11FE4"/>
    <w:rsid w:val="00D127EB"/>
    <w:rsid w:val="00D12E51"/>
    <w:rsid w:val="00D138B7"/>
    <w:rsid w:val="00D13DF9"/>
    <w:rsid w:val="00D1422F"/>
    <w:rsid w:val="00D14552"/>
    <w:rsid w:val="00D152E8"/>
    <w:rsid w:val="00D15FDC"/>
    <w:rsid w:val="00D1612F"/>
    <w:rsid w:val="00D16AD2"/>
    <w:rsid w:val="00D16D94"/>
    <w:rsid w:val="00D16DEB"/>
    <w:rsid w:val="00D1742A"/>
    <w:rsid w:val="00D17694"/>
    <w:rsid w:val="00D2021A"/>
    <w:rsid w:val="00D20B3B"/>
    <w:rsid w:val="00D20D7F"/>
    <w:rsid w:val="00D20FAA"/>
    <w:rsid w:val="00D21FC9"/>
    <w:rsid w:val="00D22EEC"/>
    <w:rsid w:val="00D22F76"/>
    <w:rsid w:val="00D23B4C"/>
    <w:rsid w:val="00D23BC8"/>
    <w:rsid w:val="00D245B5"/>
    <w:rsid w:val="00D24EA2"/>
    <w:rsid w:val="00D25735"/>
    <w:rsid w:val="00D25D5D"/>
    <w:rsid w:val="00D26146"/>
    <w:rsid w:val="00D266D7"/>
    <w:rsid w:val="00D26C76"/>
    <w:rsid w:val="00D279C1"/>
    <w:rsid w:val="00D30213"/>
    <w:rsid w:val="00D30BE4"/>
    <w:rsid w:val="00D30D90"/>
    <w:rsid w:val="00D325F5"/>
    <w:rsid w:val="00D32C15"/>
    <w:rsid w:val="00D3398C"/>
    <w:rsid w:val="00D33CB0"/>
    <w:rsid w:val="00D340F8"/>
    <w:rsid w:val="00D341C9"/>
    <w:rsid w:val="00D34F7B"/>
    <w:rsid w:val="00D352E7"/>
    <w:rsid w:val="00D35469"/>
    <w:rsid w:val="00D36123"/>
    <w:rsid w:val="00D364F1"/>
    <w:rsid w:val="00D36AE6"/>
    <w:rsid w:val="00D376CF"/>
    <w:rsid w:val="00D40EC4"/>
    <w:rsid w:val="00D42104"/>
    <w:rsid w:val="00D42243"/>
    <w:rsid w:val="00D43903"/>
    <w:rsid w:val="00D4438D"/>
    <w:rsid w:val="00D443ED"/>
    <w:rsid w:val="00D44B75"/>
    <w:rsid w:val="00D44BED"/>
    <w:rsid w:val="00D44FA1"/>
    <w:rsid w:val="00D46012"/>
    <w:rsid w:val="00D460FF"/>
    <w:rsid w:val="00D467B1"/>
    <w:rsid w:val="00D47536"/>
    <w:rsid w:val="00D477F4"/>
    <w:rsid w:val="00D4798A"/>
    <w:rsid w:val="00D5081F"/>
    <w:rsid w:val="00D51B0E"/>
    <w:rsid w:val="00D51B4D"/>
    <w:rsid w:val="00D52910"/>
    <w:rsid w:val="00D52FCA"/>
    <w:rsid w:val="00D53422"/>
    <w:rsid w:val="00D53536"/>
    <w:rsid w:val="00D53AC8"/>
    <w:rsid w:val="00D53BE2"/>
    <w:rsid w:val="00D54DD5"/>
    <w:rsid w:val="00D566B8"/>
    <w:rsid w:val="00D569EA"/>
    <w:rsid w:val="00D56BC6"/>
    <w:rsid w:val="00D571F4"/>
    <w:rsid w:val="00D578CB"/>
    <w:rsid w:val="00D57A8B"/>
    <w:rsid w:val="00D603A9"/>
    <w:rsid w:val="00D60447"/>
    <w:rsid w:val="00D60D3E"/>
    <w:rsid w:val="00D61E6D"/>
    <w:rsid w:val="00D61F5B"/>
    <w:rsid w:val="00D6272C"/>
    <w:rsid w:val="00D6299B"/>
    <w:rsid w:val="00D62C0B"/>
    <w:rsid w:val="00D63311"/>
    <w:rsid w:val="00D63F3F"/>
    <w:rsid w:val="00D64845"/>
    <w:rsid w:val="00D64A4A"/>
    <w:rsid w:val="00D65328"/>
    <w:rsid w:val="00D65A7C"/>
    <w:rsid w:val="00D65FBF"/>
    <w:rsid w:val="00D66AC5"/>
    <w:rsid w:val="00D679C6"/>
    <w:rsid w:val="00D67EE1"/>
    <w:rsid w:val="00D709C9"/>
    <w:rsid w:val="00D70A31"/>
    <w:rsid w:val="00D70DFC"/>
    <w:rsid w:val="00D71D2A"/>
    <w:rsid w:val="00D722B6"/>
    <w:rsid w:val="00D727BD"/>
    <w:rsid w:val="00D72A5B"/>
    <w:rsid w:val="00D72B64"/>
    <w:rsid w:val="00D73038"/>
    <w:rsid w:val="00D73850"/>
    <w:rsid w:val="00D73A67"/>
    <w:rsid w:val="00D75864"/>
    <w:rsid w:val="00D762BF"/>
    <w:rsid w:val="00D76337"/>
    <w:rsid w:val="00D76B0E"/>
    <w:rsid w:val="00D7725C"/>
    <w:rsid w:val="00D802AF"/>
    <w:rsid w:val="00D80895"/>
    <w:rsid w:val="00D80F18"/>
    <w:rsid w:val="00D81227"/>
    <w:rsid w:val="00D81F07"/>
    <w:rsid w:val="00D826ED"/>
    <w:rsid w:val="00D82BAA"/>
    <w:rsid w:val="00D831EE"/>
    <w:rsid w:val="00D843B9"/>
    <w:rsid w:val="00D84682"/>
    <w:rsid w:val="00D852F2"/>
    <w:rsid w:val="00D86158"/>
    <w:rsid w:val="00D8684C"/>
    <w:rsid w:val="00D86AA5"/>
    <w:rsid w:val="00D86D83"/>
    <w:rsid w:val="00D86D93"/>
    <w:rsid w:val="00D903B0"/>
    <w:rsid w:val="00D91FD8"/>
    <w:rsid w:val="00D93624"/>
    <w:rsid w:val="00D949BB"/>
    <w:rsid w:val="00D95554"/>
    <w:rsid w:val="00D967CC"/>
    <w:rsid w:val="00D96AF2"/>
    <w:rsid w:val="00D96F56"/>
    <w:rsid w:val="00D97170"/>
    <w:rsid w:val="00DA0782"/>
    <w:rsid w:val="00DA1394"/>
    <w:rsid w:val="00DA13B3"/>
    <w:rsid w:val="00DA14F3"/>
    <w:rsid w:val="00DA39B8"/>
    <w:rsid w:val="00DA3B88"/>
    <w:rsid w:val="00DA3E1F"/>
    <w:rsid w:val="00DA47D4"/>
    <w:rsid w:val="00DA4AA8"/>
    <w:rsid w:val="00DA4BA1"/>
    <w:rsid w:val="00DA52D9"/>
    <w:rsid w:val="00DA55C7"/>
    <w:rsid w:val="00DA5865"/>
    <w:rsid w:val="00DA59A5"/>
    <w:rsid w:val="00DA5F21"/>
    <w:rsid w:val="00DA6B5A"/>
    <w:rsid w:val="00DA73AA"/>
    <w:rsid w:val="00DB0936"/>
    <w:rsid w:val="00DB0C61"/>
    <w:rsid w:val="00DB16C4"/>
    <w:rsid w:val="00DB17AB"/>
    <w:rsid w:val="00DB20E0"/>
    <w:rsid w:val="00DB296A"/>
    <w:rsid w:val="00DB2FB9"/>
    <w:rsid w:val="00DB381B"/>
    <w:rsid w:val="00DB4034"/>
    <w:rsid w:val="00DB40AA"/>
    <w:rsid w:val="00DB4BD3"/>
    <w:rsid w:val="00DB5227"/>
    <w:rsid w:val="00DB5C7F"/>
    <w:rsid w:val="00DB633E"/>
    <w:rsid w:val="00DB67D3"/>
    <w:rsid w:val="00DB707E"/>
    <w:rsid w:val="00DB7317"/>
    <w:rsid w:val="00DB7C0E"/>
    <w:rsid w:val="00DC0AAB"/>
    <w:rsid w:val="00DC1355"/>
    <w:rsid w:val="00DC1707"/>
    <w:rsid w:val="00DC1BEB"/>
    <w:rsid w:val="00DC2724"/>
    <w:rsid w:val="00DC460E"/>
    <w:rsid w:val="00DC4979"/>
    <w:rsid w:val="00DC5486"/>
    <w:rsid w:val="00DC5589"/>
    <w:rsid w:val="00DC5C48"/>
    <w:rsid w:val="00DC5E83"/>
    <w:rsid w:val="00DC5FF5"/>
    <w:rsid w:val="00DC6455"/>
    <w:rsid w:val="00DC6738"/>
    <w:rsid w:val="00DC6966"/>
    <w:rsid w:val="00DC6CC5"/>
    <w:rsid w:val="00DC762B"/>
    <w:rsid w:val="00DC78F7"/>
    <w:rsid w:val="00DD032C"/>
    <w:rsid w:val="00DD047D"/>
    <w:rsid w:val="00DD0ABF"/>
    <w:rsid w:val="00DD0BD1"/>
    <w:rsid w:val="00DD2B5A"/>
    <w:rsid w:val="00DD2D39"/>
    <w:rsid w:val="00DD3088"/>
    <w:rsid w:val="00DD4FFF"/>
    <w:rsid w:val="00DD5FCA"/>
    <w:rsid w:val="00DD6657"/>
    <w:rsid w:val="00DD6BEC"/>
    <w:rsid w:val="00DD6D32"/>
    <w:rsid w:val="00DD745D"/>
    <w:rsid w:val="00DD7DE4"/>
    <w:rsid w:val="00DE0259"/>
    <w:rsid w:val="00DE084C"/>
    <w:rsid w:val="00DE0985"/>
    <w:rsid w:val="00DE238C"/>
    <w:rsid w:val="00DE29A9"/>
    <w:rsid w:val="00DE3473"/>
    <w:rsid w:val="00DE45A1"/>
    <w:rsid w:val="00DE45C2"/>
    <w:rsid w:val="00DE52CA"/>
    <w:rsid w:val="00DE5D63"/>
    <w:rsid w:val="00DE5DE9"/>
    <w:rsid w:val="00DE63AB"/>
    <w:rsid w:val="00DE6680"/>
    <w:rsid w:val="00DE6C1A"/>
    <w:rsid w:val="00DE7075"/>
    <w:rsid w:val="00DE7C18"/>
    <w:rsid w:val="00DE7E00"/>
    <w:rsid w:val="00DF0003"/>
    <w:rsid w:val="00DF095E"/>
    <w:rsid w:val="00DF2F18"/>
    <w:rsid w:val="00DF3277"/>
    <w:rsid w:val="00DF444B"/>
    <w:rsid w:val="00DF4D33"/>
    <w:rsid w:val="00DF53AB"/>
    <w:rsid w:val="00DF593E"/>
    <w:rsid w:val="00DF65DB"/>
    <w:rsid w:val="00DF6E0C"/>
    <w:rsid w:val="00E004AA"/>
    <w:rsid w:val="00E005F8"/>
    <w:rsid w:val="00E00AB2"/>
    <w:rsid w:val="00E01A50"/>
    <w:rsid w:val="00E01E81"/>
    <w:rsid w:val="00E01E96"/>
    <w:rsid w:val="00E02AD2"/>
    <w:rsid w:val="00E0353A"/>
    <w:rsid w:val="00E03E19"/>
    <w:rsid w:val="00E03E30"/>
    <w:rsid w:val="00E0604D"/>
    <w:rsid w:val="00E063DD"/>
    <w:rsid w:val="00E066BA"/>
    <w:rsid w:val="00E07027"/>
    <w:rsid w:val="00E072DE"/>
    <w:rsid w:val="00E07500"/>
    <w:rsid w:val="00E0751A"/>
    <w:rsid w:val="00E075E8"/>
    <w:rsid w:val="00E07AE8"/>
    <w:rsid w:val="00E07BE1"/>
    <w:rsid w:val="00E07BE6"/>
    <w:rsid w:val="00E10C8E"/>
    <w:rsid w:val="00E116B8"/>
    <w:rsid w:val="00E117BC"/>
    <w:rsid w:val="00E117E6"/>
    <w:rsid w:val="00E1251A"/>
    <w:rsid w:val="00E1274F"/>
    <w:rsid w:val="00E13E98"/>
    <w:rsid w:val="00E14160"/>
    <w:rsid w:val="00E15620"/>
    <w:rsid w:val="00E15E76"/>
    <w:rsid w:val="00E16F16"/>
    <w:rsid w:val="00E16F62"/>
    <w:rsid w:val="00E17925"/>
    <w:rsid w:val="00E179B7"/>
    <w:rsid w:val="00E21AC1"/>
    <w:rsid w:val="00E21CF0"/>
    <w:rsid w:val="00E227A5"/>
    <w:rsid w:val="00E22AF7"/>
    <w:rsid w:val="00E23955"/>
    <w:rsid w:val="00E23A5E"/>
    <w:rsid w:val="00E23FCF"/>
    <w:rsid w:val="00E24438"/>
    <w:rsid w:val="00E24C93"/>
    <w:rsid w:val="00E25493"/>
    <w:rsid w:val="00E2581D"/>
    <w:rsid w:val="00E2638D"/>
    <w:rsid w:val="00E26F9C"/>
    <w:rsid w:val="00E27C5E"/>
    <w:rsid w:val="00E3020B"/>
    <w:rsid w:val="00E305A7"/>
    <w:rsid w:val="00E30825"/>
    <w:rsid w:val="00E3165C"/>
    <w:rsid w:val="00E31A47"/>
    <w:rsid w:val="00E322E6"/>
    <w:rsid w:val="00E354E0"/>
    <w:rsid w:val="00E35C6A"/>
    <w:rsid w:val="00E36188"/>
    <w:rsid w:val="00E365CF"/>
    <w:rsid w:val="00E378DC"/>
    <w:rsid w:val="00E40BBD"/>
    <w:rsid w:val="00E40F4A"/>
    <w:rsid w:val="00E40F96"/>
    <w:rsid w:val="00E41DCA"/>
    <w:rsid w:val="00E4242F"/>
    <w:rsid w:val="00E43F84"/>
    <w:rsid w:val="00E45330"/>
    <w:rsid w:val="00E45874"/>
    <w:rsid w:val="00E4602F"/>
    <w:rsid w:val="00E4714F"/>
    <w:rsid w:val="00E47FF6"/>
    <w:rsid w:val="00E50733"/>
    <w:rsid w:val="00E511D9"/>
    <w:rsid w:val="00E518B6"/>
    <w:rsid w:val="00E51906"/>
    <w:rsid w:val="00E534B1"/>
    <w:rsid w:val="00E5367C"/>
    <w:rsid w:val="00E55649"/>
    <w:rsid w:val="00E558A7"/>
    <w:rsid w:val="00E55F76"/>
    <w:rsid w:val="00E561A9"/>
    <w:rsid w:val="00E56F98"/>
    <w:rsid w:val="00E5701E"/>
    <w:rsid w:val="00E573B0"/>
    <w:rsid w:val="00E579EE"/>
    <w:rsid w:val="00E57B2E"/>
    <w:rsid w:val="00E6068B"/>
    <w:rsid w:val="00E61682"/>
    <w:rsid w:val="00E624ED"/>
    <w:rsid w:val="00E62F7D"/>
    <w:rsid w:val="00E63501"/>
    <w:rsid w:val="00E63896"/>
    <w:rsid w:val="00E65C6C"/>
    <w:rsid w:val="00E66049"/>
    <w:rsid w:val="00E6698F"/>
    <w:rsid w:val="00E6741D"/>
    <w:rsid w:val="00E70191"/>
    <w:rsid w:val="00E70F6B"/>
    <w:rsid w:val="00E71E62"/>
    <w:rsid w:val="00E725AB"/>
    <w:rsid w:val="00E72E7A"/>
    <w:rsid w:val="00E74815"/>
    <w:rsid w:val="00E74D1F"/>
    <w:rsid w:val="00E75744"/>
    <w:rsid w:val="00E75FE8"/>
    <w:rsid w:val="00E76E1A"/>
    <w:rsid w:val="00E774D4"/>
    <w:rsid w:val="00E77B64"/>
    <w:rsid w:val="00E805C1"/>
    <w:rsid w:val="00E8064D"/>
    <w:rsid w:val="00E80737"/>
    <w:rsid w:val="00E80BBD"/>
    <w:rsid w:val="00E80D3B"/>
    <w:rsid w:val="00E80D6F"/>
    <w:rsid w:val="00E80F56"/>
    <w:rsid w:val="00E8102E"/>
    <w:rsid w:val="00E811DD"/>
    <w:rsid w:val="00E8176B"/>
    <w:rsid w:val="00E817CF"/>
    <w:rsid w:val="00E819D3"/>
    <w:rsid w:val="00E81A89"/>
    <w:rsid w:val="00E837AD"/>
    <w:rsid w:val="00E838D6"/>
    <w:rsid w:val="00E84357"/>
    <w:rsid w:val="00E843BA"/>
    <w:rsid w:val="00E8488F"/>
    <w:rsid w:val="00E84E6A"/>
    <w:rsid w:val="00E84F07"/>
    <w:rsid w:val="00E8536D"/>
    <w:rsid w:val="00E8564B"/>
    <w:rsid w:val="00E85A86"/>
    <w:rsid w:val="00E85ADD"/>
    <w:rsid w:val="00E86868"/>
    <w:rsid w:val="00E86C21"/>
    <w:rsid w:val="00E8788B"/>
    <w:rsid w:val="00E9072E"/>
    <w:rsid w:val="00E9131B"/>
    <w:rsid w:val="00E9151A"/>
    <w:rsid w:val="00E92084"/>
    <w:rsid w:val="00E92CBF"/>
    <w:rsid w:val="00E92CE9"/>
    <w:rsid w:val="00E934AA"/>
    <w:rsid w:val="00E95253"/>
    <w:rsid w:val="00E955D5"/>
    <w:rsid w:val="00E95EA8"/>
    <w:rsid w:val="00E96A52"/>
    <w:rsid w:val="00E97B84"/>
    <w:rsid w:val="00EA0132"/>
    <w:rsid w:val="00EA06C9"/>
    <w:rsid w:val="00EA0964"/>
    <w:rsid w:val="00EA10BD"/>
    <w:rsid w:val="00EA133B"/>
    <w:rsid w:val="00EA159A"/>
    <w:rsid w:val="00EA168D"/>
    <w:rsid w:val="00EA1E09"/>
    <w:rsid w:val="00EA2967"/>
    <w:rsid w:val="00EA2C86"/>
    <w:rsid w:val="00EA2D04"/>
    <w:rsid w:val="00EA3144"/>
    <w:rsid w:val="00EA3661"/>
    <w:rsid w:val="00EA3B27"/>
    <w:rsid w:val="00EA410F"/>
    <w:rsid w:val="00EA4142"/>
    <w:rsid w:val="00EA4AEC"/>
    <w:rsid w:val="00EA4CCA"/>
    <w:rsid w:val="00EA512F"/>
    <w:rsid w:val="00EA5BDA"/>
    <w:rsid w:val="00EA65BB"/>
    <w:rsid w:val="00EA6A29"/>
    <w:rsid w:val="00EA7417"/>
    <w:rsid w:val="00EB0465"/>
    <w:rsid w:val="00EB1485"/>
    <w:rsid w:val="00EB1B55"/>
    <w:rsid w:val="00EB2976"/>
    <w:rsid w:val="00EB418B"/>
    <w:rsid w:val="00EB4AFB"/>
    <w:rsid w:val="00EB4FA6"/>
    <w:rsid w:val="00EB5039"/>
    <w:rsid w:val="00EB599D"/>
    <w:rsid w:val="00EB64EC"/>
    <w:rsid w:val="00EB68F4"/>
    <w:rsid w:val="00EB7DA3"/>
    <w:rsid w:val="00EC03C6"/>
    <w:rsid w:val="00EC189E"/>
    <w:rsid w:val="00EC1CA5"/>
    <w:rsid w:val="00EC2A2E"/>
    <w:rsid w:val="00EC2C56"/>
    <w:rsid w:val="00EC2D9B"/>
    <w:rsid w:val="00EC336F"/>
    <w:rsid w:val="00EC3402"/>
    <w:rsid w:val="00EC3F43"/>
    <w:rsid w:val="00EC44E5"/>
    <w:rsid w:val="00EC468E"/>
    <w:rsid w:val="00EC5D79"/>
    <w:rsid w:val="00EC5FF0"/>
    <w:rsid w:val="00EC643A"/>
    <w:rsid w:val="00EC6515"/>
    <w:rsid w:val="00EC6A6D"/>
    <w:rsid w:val="00EC7067"/>
    <w:rsid w:val="00ED047B"/>
    <w:rsid w:val="00ED060E"/>
    <w:rsid w:val="00ED0800"/>
    <w:rsid w:val="00ED080E"/>
    <w:rsid w:val="00ED090E"/>
    <w:rsid w:val="00ED0E1B"/>
    <w:rsid w:val="00ED239D"/>
    <w:rsid w:val="00ED25D0"/>
    <w:rsid w:val="00ED2BAC"/>
    <w:rsid w:val="00ED3193"/>
    <w:rsid w:val="00ED503A"/>
    <w:rsid w:val="00ED50D9"/>
    <w:rsid w:val="00ED58E8"/>
    <w:rsid w:val="00ED5AB1"/>
    <w:rsid w:val="00ED6740"/>
    <w:rsid w:val="00ED681B"/>
    <w:rsid w:val="00ED6C00"/>
    <w:rsid w:val="00ED7A5A"/>
    <w:rsid w:val="00ED7ED7"/>
    <w:rsid w:val="00EE03E6"/>
    <w:rsid w:val="00EE0C04"/>
    <w:rsid w:val="00EE2BEE"/>
    <w:rsid w:val="00EE2DD0"/>
    <w:rsid w:val="00EE3A5B"/>
    <w:rsid w:val="00EE3C6E"/>
    <w:rsid w:val="00EE3F8E"/>
    <w:rsid w:val="00EE3FA7"/>
    <w:rsid w:val="00EE4460"/>
    <w:rsid w:val="00EE4726"/>
    <w:rsid w:val="00EE4B5B"/>
    <w:rsid w:val="00EE540F"/>
    <w:rsid w:val="00EE54BF"/>
    <w:rsid w:val="00EE61B9"/>
    <w:rsid w:val="00EE643B"/>
    <w:rsid w:val="00EE6C56"/>
    <w:rsid w:val="00EE7605"/>
    <w:rsid w:val="00EF083B"/>
    <w:rsid w:val="00EF0BCE"/>
    <w:rsid w:val="00EF1205"/>
    <w:rsid w:val="00EF2379"/>
    <w:rsid w:val="00EF3B60"/>
    <w:rsid w:val="00EF3F60"/>
    <w:rsid w:val="00EF4431"/>
    <w:rsid w:val="00EF47E5"/>
    <w:rsid w:val="00EF4AA6"/>
    <w:rsid w:val="00EF5DDF"/>
    <w:rsid w:val="00EF6206"/>
    <w:rsid w:val="00EF6E56"/>
    <w:rsid w:val="00EF7086"/>
    <w:rsid w:val="00EF77CA"/>
    <w:rsid w:val="00EF7C56"/>
    <w:rsid w:val="00F00286"/>
    <w:rsid w:val="00F006EF"/>
    <w:rsid w:val="00F01A92"/>
    <w:rsid w:val="00F028A2"/>
    <w:rsid w:val="00F03677"/>
    <w:rsid w:val="00F03F3E"/>
    <w:rsid w:val="00F041EC"/>
    <w:rsid w:val="00F04628"/>
    <w:rsid w:val="00F04CEC"/>
    <w:rsid w:val="00F050B3"/>
    <w:rsid w:val="00F0511F"/>
    <w:rsid w:val="00F05EA4"/>
    <w:rsid w:val="00F06875"/>
    <w:rsid w:val="00F06CAB"/>
    <w:rsid w:val="00F07D2E"/>
    <w:rsid w:val="00F102DB"/>
    <w:rsid w:val="00F108D9"/>
    <w:rsid w:val="00F10C63"/>
    <w:rsid w:val="00F10CE1"/>
    <w:rsid w:val="00F110E5"/>
    <w:rsid w:val="00F1153F"/>
    <w:rsid w:val="00F12066"/>
    <w:rsid w:val="00F12B9D"/>
    <w:rsid w:val="00F141AD"/>
    <w:rsid w:val="00F14808"/>
    <w:rsid w:val="00F14A37"/>
    <w:rsid w:val="00F14B1A"/>
    <w:rsid w:val="00F155ED"/>
    <w:rsid w:val="00F15667"/>
    <w:rsid w:val="00F16167"/>
    <w:rsid w:val="00F168D5"/>
    <w:rsid w:val="00F16A49"/>
    <w:rsid w:val="00F16BA9"/>
    <w:rsid w:val="00F16D06"/>
    <w:rsid w:val="00F17364"/>
    <w:rsid w:val="00F1792B"/>
    <w:rsid w:val="00F20D22"/>
    <w:rsid w:val="00F21189"/>
    <w:rsid w:val="00F21208"/>
    <w:rsid w:val="00F21B00"/>
    <w:rsid w:val="00F22796"/>
    <w:rsid w:val="00F239BC"/>
    <w:rsid w:val="00F2456A"/>
    <w:rsid w:val="00F248CE"/>
    <w:rsid w:val="00F24DA8"/>
    <w:rsid w:val="00F25489"/>
    <w:rsid w:val="00F255A3"/>
    <w:rsid w:val="00F25899"/>
    <w:rsid w:val="00F263DF"/>
    <w:rsid w:val="00F268A9"/>
    <w:rsid w:val="00F30044"/>
    <w:rsid w:val="00F304E4"/>
    <w:rsid w:val="00F3152A"/>
    <w:rsid w:val="00F31F4E"/>
    <w:rsid w:val="00F32083"/>
    <w:rsid w:val="00F33A7D"/>
    <w:rsid w:val="00F33B45"/>
    <w:rsid w:val="00F3433D"/>
    <w:rsid w:val="00F34BCD"/>
    <w:rsid w:val="00F34E61"/>
    <w:rsid w:val="00F3543A"/>
    <w:rsid w:val="00F363CE"/>
    <w:rsid w:val="00F36608"/>
    <w:rsid w:val="00F36624"/>
    <w:rsid w:val="00F366E2"/>
    <w:rsid w:val="00F36CCA"/>
    <w:rsid w:val="00F37598"/>
    <w:rsid w:val="00F37B2E"/>
    <w:rsid w:val="00F37D1D"/>
    <w:rsid w:val="00F40CE4"/>
    <w:rsid w:val="00F413D4"/>
    <w:rsid w:val="00F428FE"/>
    <w:rsid w:val="00F44AB5"/>
    <w:rsid w:val="00F4529D"/>
    <w:rsid w:val="00F45A5C"/>
    <w:rsid w:val="00F45E81"/>
    <w:rsid w:val="00F46466"/>
    <w:rsid w:val="00F46587"/>
    <w:rsid w:val="00F46DA8"/>
    <w:rsid w:val="00F47774"/>
    <w:rsid w:val="00F50FE3"/>
    <w:rsid w:val="00F51ADC"/>
    <w:rsid w:val="00F528C3"/>
    <w:rsid w:val="00F53122"/>
    <w:rsid w:val="00F53DDB"/>
    <w:rsid w:val="00F53EDA"/>
    <w:rsid w:val="00F54127"/>
    <w:rsid w:val="00F5434F"/>
    <w:rsid w:val="00F54CEC"/>
    <w:rsid w:val="00F54EA4"/>
    <w:rsid w:val="00F56752"/>
    <w:rsid w:val="00F56828"/>
    <w:rsid w:val="00F56FCE"/>
    <w:rsid w:val="00F5727E"/>
    <w:rsid w:val="00F61264"/>
    <w:rsid w:val="00F613DC"/>
    <w:rsid w:val="00F61831"/>
    <w:rsid w:val="00F6191A"/>
    <w:rsid w:val="00F622E4"/>
    <w:rsid w:val="00F628B2"/>
    <w:rsid w:val="00F62ADD"/>
    <w:rsid w:val="00F6324C"/>
    <w:rsid w:val="00F64435"/>
    <w:rsid w:val="00F65272"/>
    <w:rsid w:val="00F6528F"/>
    <w:rsid w:val="00F654DD"/>
    <w:rsid w:val="00F65D5F"/>
    <w:rsid w:val="00F664E8"/>
    <w:rsid w:val="00F67EE8"/>
    <w:rsid w:val="00F709F9"/>
    <w:rsid w:val="00F71CE9"/>
    <w:rsid w:val="00F72C8C"/>
    <w:rsid w:val="00F72E06"/>
    <w:rsid w:val="00F73356"/>
    <w:rsid w:val="00F742CB"/>
    <w:rsid w:val="00F746AD"/>
    <w:rsid w:val="00F74C25"/>
    <w:rsid w:val="00F76969"/>
    <w:rsid w:val="00F773A2"/>
    <w:rsid w:val="00F80FF1"/>
    <w:rsid w:val="00F82CEB"/>
    <w:rsid w:val="00F83B78"/>
    <w:rsid w:val="00F83E57"/>
    <w:rsid w:val="00F847BC"/>
    <w:rsid w:val="00F85FE4"/>
    <w:rsid w:val="00F86076"/>
    <w:rsid w:val="00F8662E"/>
    <w:rsid w:val="00F90734"/>
    <w:rsid w:val="00F91488"/>
    <w:rsid w:val="00F91D3B"/>
    <w:rsid w:val="00F92527"/>
    <w:rsid w:val="00F92E3F"/>
    <w:rsid w:val="00F938D7"/>
    <w:rsid w:val="00F95378"/>
    <w:rsid w:val="00F953D1"/>
    <w:rsid w:val="00F956AB"/>
    <w:rsid w:val="00F956EC"/>
    <w:rsid w:val="00F97215"/>
    <w:rsid w:val="00F97AA6"/>
    <w:rsid w:val="00FA02E5"/>
    <w:rsid w:val="00FA0590"/>
    <w:rsid w:val="00FA1CB0"/>
    <w:rsid w:val="00FA308E"/>
    <w:rsid w:val="00FA54DA"/>
    <w:rsid w:val="00FA61AA"/>
    <w:rsid w:val="00FA646D"/>
    <w:rsid w:val="00FA669B"/>
    <w:rsid w:val="00FA699C"/>
    <w:rsid w:val="00FA6A70"/>
    <w:rsid w:val="00FA724A"/>
    <w:rsid w:val="00FA7935"/>
    <w:rsid w:val="00FB0B6A"/>
    <w:rsid w:val="00FB117B"/>
    <w:rsid w:val="00FB188D"/>
    <w:rsid w:val="00FB19C1"/>
    <w:rsid w:val="00FB1BA9"/>
    <w:rsid w:val="00FB2A1D"/>
    <w:rsid w:val="00FB2F2F"/>
    <w:rsid w:val="00FB2FB6"/>
    <w:rsid w:val="00FB3B51"/>
    <w:rsid w:val="00FB5F46"/>
    <w:rsid w:val="00FB608C"/>
    <w:rsid w:val="00FB691B"/>
    <w:rsid w:val="00FB6B8E"/>
    <w:rsid w:val="00FB7616"/>
    <w:rsid w:val="00FB7ACF"/>
    <w:rsid w:val="00FB7C17"/>
    <w:rsid w:val="00FB7DEC"/>
    <w:rsid w:val="00FC0093"/>
    <w:rsid w:val="00FC1595"/>
    <w:rsid w:val="00FC1E81"/>
    <w:rsid w:val="00FC2D22"/>
    <w:rsid w:val="00FC36F8"/>
    <w:rsid w:val="00FC3C39"/>
    <w:rsid w:val="00FC4BE4"/>
    <w:rsid w:val="00FC4C66"/>
    <w:rsid w:val="00FC4C85"/>
    <w:rsid w:val="00FC56EB"/>
    <w:rsid w:val="00FC58DE"/>
    <w:rsid w:val="00FC615E"/>
    <w:rsid w:val="00FC774E"/>
    <w:rsid w:val="00FC789A"/>
    <w:rsid w:val="00FD060D"/>
    <w:rsid w:val="00FD12DC"/>
    <w:rsid w:val="00FD13F5"/>
    <w:rsid w:val="00FD2664"/>
    <w:rsid w:val="00FD28EF"/>
    <w:rsid w:val="00FD2A27"/>
    <w:rsid w:val="00FD2A6E"/>
    <w:rsid w:val="00FD2B44"/>
    <w:rsid w:val="00FD3145"/>
    <w:rsid w:val="00FD31FD"/>
    <w:rsid w:val="00FD3AC1"/>
    <w:rsid w:val="00FD3C72"/>
    <w:rsid w:val="00FD4519"/>
    <w:rsid w:val="00FD4AC0"/>
    <w:rsid w:val="00FD51FA"/>
    <w:rsid w:val="00FD5670"/>
    <w:rsid w:val="00FD5A7A"/>
    <w:rsid w:val="00FD6003"/>
    <w:rsid w:val="00FD6152"/>
    <w:rsid w:val="00FD6E68"/>
    <w:rsid w:val="00FD75C9"/>
    <w:rsid w:val="00FD7E56"/>
    <w:rsid w:val="00FE1280"/>
    <w:rsid w:val="00FE2047"/>
    <w:rsid w:val="00FE25E4"/>
    <w:rsid w:val="00FE30E7"/>
    <w:rsid w:val="00FE3E1A"/>
    <w:rsid w:val="00FE3F13"/>
    <w:rsid w:val="00FE42E3"/>
    <w:rsid w:val="00FE435D"/>
    <w:rsid w:val="00FE4890"/>
    <w:rsid w:val="00FE4DB3"/>
    <w:rsid w:val="00FE521C"/>
    <w:rsid w:val="00FE5A30"/>
    <w:rsid w:val="00FE5BA0"/>
    <w:rsid w:val="00FE5BC0"/>
    <w:rsid w:val="00FE682F"/>
    <w:rsid w:val="00FE6EB2"/>
    <w:rsid w:val="00FE6EDC"/>
    <w:rsid w:val="00FE7126"/>
    <w:rsid w:val="00FE76C4"/>
    <w:rsid w:val="00FF18AE"/>
    <w:rsid w:val="00FF29BA"/>
    <w:rsid w:val="00FF2B26"/>
    <w:rsid w:val="00FF363F"/>
    <w:rsid w:val="00FF3D17"/>
    <w:rsid w:val="00FF4E3F"/>
    <w:rsid w:val="00FF5026"/>
    <w:rsid w:val="00FF509D"/>
    <w:rsid w:val="00FF53DD"/>
    <w:rsid w:val="00FF5A1A"/>
    <w:rsid w:val="00FF5CE3"/>
    <w:rsid w:val="00FF5F22"/>
    <w:rsid w:val="00FF60D6"/>
    <w:rsid w:val="00FF6AB5"/>
    <w:rsid w:val="00FF6AB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B064B1"/>
  <w15:docId w15:val="{2CBB0A11-9854-4396-B7C1-942E61BC0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31" w:unhideWhenUsed="1"/>
    <w:lsdException w:name="footer" w:semiHidden="1" w:uiPriority="32" w:unhideWhenUsed="1"/>
    <w:lsdException w:name="index heading" w:semiHidden="1" w:unhideWhenUsed="1"/>
    <w:lsdException w:name="caption" w:semiHidden="1" w:uiPriority="12"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710DB"/>
  </w:style>
  <w:style w:type="paragraph" w:styleId="Titre1">
    <w:name w:val="heading 1"/>
    <w:basedOn w:val="Normal"/>
    <w:next w:val="Normal"/>
    <w:link w:val="Titre1Car"/>
    <w:uiPriority w:val="9"/>
    <w:qFormat/>
    <w:rsid w:val="00E80BBD"/>
    <w:pPr>
      <w:numPr>
        <w:numId w:val="2"/>
      </w:numPr>
      <w:outlineLvl w:val="0"/>
    </w:pPr>
    <w:rPr>
      <w:b/>
      <w:sz w:val="24"/>
      <w:u w:val="single"/>
    </w:rPr>
  </w:style>
  <w:style w:type="paragraph" w:styleId="Titre2">
    <w:name w:val="heading 2"/>
    <w:basedOn w:val="Normal"/>
    <w:next w:val="Normal"/>
    <w:link w:val="Titre2Car"/>
    <w:uiPriority w:val="9"/>
    <w:semiHidden/>
    <w:unhideWhenUsed/>
    <w:qFormat/>
    <w:rsid w:val="00CF3D9A"/>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itre3">
    <w:name w:val="heading 3"/>
    <w:basedOn w:val="Normal"/>
    <w:next w:val="Normal"/>
    <w:link w:val="Titre3Car"/>
    <w:uiPriority w:val="9"/>
    <w:semiHidden/>
    <w:unhideWhenUsed/>
    <w:qFormat/>
    <w:rsid w:val="00CF3D9A"/>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Titre4">
    <w:name w:val="heading 4"/>
    <w:basedOn w:val="Normal"/>
    <w:next w:val="Normal"/>
    <w:link w:val="Titre4Car"/>
    <w:uiPriority w:val="9"/>
    <w:semiHidden/>
    <w:unhideWhenUsed/>
    <w:qFormat/>
    <w:rsid w:val="001A6A86"/>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24795F"/>
    <w:pPr>
      <w:ind w:left="720"/>
      <w:contextualSpacing/>
    </w:pPr>
  </w:style>
  <w:style w:type="character" w:customStyle="1" w:styleId="Titre1Car">
    <w:name w:val="Titre 1 Car"/>
    <w:basedOn w:val="Policepardfaut"/>
    <w:link w:val="Titre1"/>
    <w:uiPriority w:val="9"/>
    <w:rsid w:val="00E80BBD"/>
    <w:rPr>
      <w:b/>
      <w:sz w:val="24"/>
      <w:u w:val="single"/>
    </w:rPr>
  </w:style>
  <w:style w:type="paragraph" w:customStyle="1" w:styleId="Default">
    <w:name w:val="Default"/>
    <w:rsid w:val="00355D73"/>
    <w:pPr>
      <w:autoSpaceDE w:val="0"/>
      <w:autoSpaceDN w:val="0"/>
      <w:adjustRightInd w:val="0"/>
      <w:spacing w:after="0" w:line="240" w:lineRule="auto"/>
    </w:pPr>
    <w:rPr>
      <w:rFonts w:ascii="Times New Roman" w:hAnsi="Times New Roman" w:cs="Times New Roman"/>
      <w:color w:val="000000"/>
      <w:sz w:val="24"/>
      <w:szCs w:val="24"/>
    </w:rPr>
  </w:style>
  <w:style w:type="table" w:styleId="Grilledutableau">
    <w:name w:val="Table Grid"/>
    <w:basedOn w:val="TableauNormal"/>
    <w:uiPriority w:val="59"/>
    <w:rsid w:val="00BB71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E80BBD"/>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E80BBD"/>
    <w:rPr>
      <w:rFonts w:ascii="Tahoma" w:hAnsi="Tahoma" w:cs="Tahoma"/>
      <w:sz w:val="16"/>
      <w:szCs w:val="16"/>
    </w:rPr>
  </w:style>
  <w:style w:type="character" w:customStyle="1" w:styleId="subscreenlocalisationwrapper">
    <w:name w:val="subscreenlocalisationwrapper"/>
    <w:basedOn w:val="Policepardfaut"/>
    <w:rsid w:val="00D1612F"/>
  </w:style>
  <w:style w:type="character" w:styleId="Lienhypertexte">
    <w:name w:val="Hyperlink"/>
    <w:basedOn w:val="Policepardfaut"/>
    <w:uiPriority w:val="99"/>
    <w:unhideWhenUsed/>
    <w:rsid w:val="00120F3C"/>
    <w:rPr>
      <w:color w:val="0000FF"/>
      <w:u w:val="single"/>
    </w:rPr>
  </w:style>
  <w:style w:type="character" w:styleId="Marquedecommentaire">
    <w:name w:val="annotation reference"/>
    <w:basedOn w:val="Policepardfaut"/>
    <w:uiPriority w:val="99"/>
    <w:semiHidden/>
    <w:unhideWhenUsed/>
    <w:rsid w:val="00AF266B"/>
    <w:rPr>
      <w:sz w:val="16"/>
      <w:szCs w:val="16"/>
    </w:rPr>
  </w:style>
  <w:style w:type="paragraph" w:styleId="Commentaire">
    <w:name w:val="annotation text"/>
    <w:basedOn w:val="Normal"/>
    <w:link w:val="CommentaireCar"/>
    <w:uiPriority w:val="99"/>
    <w:semiHidden/>
    <w:unhideWhenUsed/>
    <w:rsid w:val="00AF266B"/>
    <w:pPr>
      <w:spacing w:line="240" w:lineRule="auto"/>
    </w:pPr>
    <w:rPr>
      <w:sz w:val="20"/>
      <w:szCs w:val="20"/>
    </w:rPr>
  </w:style>
  <w:style w:type="character" w:customStyle="1" w:styleId="CommentaireCar">
    <w:name w:val="Commentaire Car"/>
    <w:basedOn w:val="Policepardfaut"/>
    <w:link w:val="Commentaire"/>
    <w:uiPriority w:val="99"/>
    <w:semiHidden/>
    <w:rsid w:val="00AF266B"/>
    <w:rPr>
      <w:sz w:val="20"/>
      <w:szCs w:val="20"/>
    </w:rPr>
  </w:style>
  <w:style w:type="paragraph" w:styleId="Objetducommentaire">
    <w:name w:val="annotation subject"/>
    <w:basedOn w:val="Commentaire"/>
    <w:next w:val="Commentaire"/>
    <w:link w:val="ObjetducommentaireCar"/>
    <w:uiPriority w:val="99"/>
    <w:semiHidden/>
    <w:unhideWhenUsed/>
    <w:rsid w:val="00AF266B"/>
    <w:rPr>
      <w:b/>
      <w:bCs/>
    </w:rPr>
  </w:style>
  <w:style w:type="character" w:customStyle="1" w:styleId="ObjetducommentaireCar">
    <w:name w:val="Objet du commentaire Car"/>
    <w:basedOn w:val="CommentaireCar"/>
    <w:link w:val="Objetducommentaire"/>
    <w:uiPriority w:val="99"/>
    <w:semiHidden/>
    <w:rsid w:val="00AF266B"/>
    <w:rPr>
      <w:b/>
      <w:bCs/>
      <w:sz w:val="20"/>
      <w:szCs w:val="20"/>
    </w:rPr>
  </w:style>
  <w:style w:type="table" w:customStyle="1" w:styleId="Grilledutableau1">
    <w:name w:val="Grille du tableau1"/>
    <w:basedOn w:val="TableauNormal"/>
    <w:next w:val="Grilledutableau"/>
    <w:uiPriority w:val="59"/>
    <w:rsid w:val="004F55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
    <w:name w:val="Grille du tableau2"/>
    <w:basedOn w:val="TableauNormal"/>
    <w:next w:val="Grilledutableau"/>
    <w:uiPriority w:val="59"/>
    <w:rsid w:val="004F55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1">
    <w:name w:val="Grille du tableau11"/>
    <w:basedOn w:val="TableauNormal"/>
    <w:next w:val="Grilledutableau"/>
    <w:uiPriority w:val="59"/>
    <w:rsid w:val="004F36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1">
    <w:name w:val="H1"/>
    <w:basedOn w:val="Titre1"/>
    <w:link w:val="H1Car"/>
    <w:qFormat/>
    <w:rsid w:val="009533C7"/>
    <w:pPr>
      <w:spacing w:before="120" w:after="120"/>
    </w:pPr>
    <w:rPr>
      <w:caps/>
      <w:color w:val="F38C25"/>
    </w:rPr>
  </w:style>
  <w:style w:type="paragraph" w:customStyle="1" w:styleId="H2">
    <w:name w:val="H2"/>
    <w:basedOn w:val="Normal"/>
    <w:link w:val="H2Car"/>
    <w:qFormat/>
    <w:rsid w:val="00105D1E"/>
    <w:pPr>
      <w:shd w:val="clear" w:color="auto" w:fill="FDE9D9" w:themeFill="accent6" w:themeFillTint="33"/>
    </w:pPr>
    <w:rPr>
      <w:rFonts w:cstheme="minorHAnsi"/>
      <w:b/>
      <w:color w:val="F38C25"/>
      <w:sz w:val="24"/>
      <w:szCs w:val="24"/>
    </w:rPr>
  </w:style>
  <w:style w:type="character" w:customStyle="1" w:styleId="H1Car">
    <w:name w:val="H1 Car"/>
    <w:basedOn w:val="Titre1Car"/>
    <w:link w:val="H1"/>
    <w:rsid w:val="009533C7"/>
    <w:rPr>
      <w:b/>
      <w:caps/>
      <w:color w:val="F38C25"/>
      <w:sz w:val="24"/>
      <w:u w:val="single"/>
    </w:rPr>
  </w:style>
  <w:style w:type="paragraph" w:styleId="En-tte">
    <w:name w:val="header"/>
    <w:basedOn w:val="Normal"/>
    <w:link w:val="En-tteCar"/>
    <w:uiPriority w:val="31"/>
    <w:unhideWhenUsed/>
    <w:rsid w:val="00BE4AE7"/>
    <w:pPr>
      <w:tabs>
        <w:tab w:val="center" w:pos="4536"/>
        <w:tab w:val="right" w:pos="9072"/>
      </w:tabs>
      <w:spacing w:after="0" w:line="240" w:lineRule="auto"/>
    </w:pPr>
  </w:style>
  <w:style w:type="character" w:customStyle="1" w:styleId="H2Car">
    <w:name w:val="H2 Car"/>
    <w:basedOn w:val="Policepardfaut"/>
    <w:link w:val="H2"/>
    <w:rsid w:val="00105D1E"/>
    <w:rPr>
      <w:rFonts w:cstheme="minorHAnsi"/>
      <w:b/>
      <w:color w:val="F38C25"/>
      <w:sz w:val="24"/>
      <w:szCs w:val="24"/>
      <w:shd w:val="clear" w:color="auto" w:fill="FDE9D9" w:themeFill="accent6" w:themeFillTint="33"/>
    </w:rPr>
  </w:style>
  <w:style w:type="character" w:customStyle="1" w:styleId="En-tteCar">
    <w:name w:val="En-tête Car"/>
    <w:basedOn w:val="Policepardfaut"/>
    <w:link w:val="En-tte"/>
    <w:uiPriority w:val="31"/>
    <w:rsid w:val="00BE4AE7"/>
  </w:style>
  <w:style w:type="paragraph" w:styleId="Pieddepage">
    <w:name w:val="footer"/>
    <w:basedOn w:val="Normal"/>
    <w:link w:val="PieddepageCar"/>
    <w:uiPriority w:val="32"/>
    <w:unhideWhenUsed/>
    <w:rsid w:val="00BE4AE7"/>
    <w:pPr>
      <w:tabs>
        <w:tab w:val="center" w:pos="4536"/>
        <w:tab w:val="right" w:pos="9072"/>
      </w:tabs>
      <w:spacing w:after="0" w:line="240" w:lineRule="auto"/>
    </w:pPr>
  </w:style>
  <w:style w:type="character" w:customStyle="1" w:styleId="PieddepageCar">
    <w:name w:val="Pied de page Car"/>
    <w:basedOn w:val="Policepardfaut"/>
    <w:link w:val="Pieddepage"/>
    <w:uiPriority w:val="32"/>
    <w:rsid w:val="00BE4AE7"/>
  </w:style>
  <w:style w:type="paragraph" w:customStyle="1" w:styleId="Textesexplicatifs">
    <w:name w:val="Textes explicatifs"/>
    <w:basedOn w:val="Normal"/>
    <w:link w:val="TextesexplicatifsCar"/>
    <w:qFormat/>
    <w:rsid w:val="002F2CFB"/>
    <w:rPr>
      <w:i/>
      <w:color w:val="13678C"/>
    </w:rPr>
  </w:style>
  <w:style w:type="character" w:customStyle="1" w:styleId="TextesexplicatifsCar">
    <w:name w:val="Textes explicatifs Car"/>
    <w:basedOn w:val="Policepardfaut"/>
    <w:link w:val="Textesexplicatifs"/>
    <w:rsid w:val="002F2CFB"/>
    <w:rPr>
      <w:i/>
      <w:color w:val="13678C"/>
    </w:rPr>
  </w:style>
  <w:style w:type="character" w:customStyle="1" w:styleId="Titre4Car">
    <w:name w:val="Titre 4 Car"/>
    <w:basedOn w:val="Policepardfaut"/>
    <w:link w:val="Titre4"/>
    <w:uiPriority w:val="9"/>
    <w:semiHidden/>
    <w:rsid w:val="001A6A86"/>
    <w:rPr>
      <w:rFonts w:asciiTheme="majorHAnsi" w:eastAsiaTheme="majorEastAsia" w:hAnsiTheme="majorHAnsi" w:cstheme="majorBidi"/>
      <w:i/>
      <w:iCs/>
      <w:color w:val="365F91" w:themeColor="accent1" w:themeShade="BF"/>
    </w:rPr>
  </w:style>
  <w:style w:type="character" w:customStyle="1" w:styleId="tl8wme">
    <w:name w:val="tl8wme"/>
    <w:basedOn w:val="Policepardfaut"/>
    <w:rsid w:val="00106CD8"/>
  </w:style>
  <w:style w:type="character" w:customStyle="1" w:styleId="Titre2Car">
    <w:name w:val="Titre 2 Car"/>
    <w:basedOn w:val="Policepardfaut"/>
    <w:link w:val="Titre2"/>
    <w:uiPriority w:val="9"/>
    <w:semiHidden/>
    <w:rsid w:val="00CF3D9A"/>
    <w:rPr>
      <w:rFonts w:asciiTheme="majorHAnsi" w:eastAsiaTheme="majorEastAsia" w:hAnsiTheme="majorHAnsi" w:cstheme="majorBidi"/>
      <w:color w:val="365F91" w:themeColor="accent1" w:themeShade="BF"/>
      <w:sz w:val="26"/>
      <w:szCs w:val="26"/>
    </w:rPr>
  </w:style>
  <w:style w:type="character" w:customStyle="1" w:styleId="Titre3Car">
    <w:name w:val="Titre 3 Car"/>
    <w:basedOn w:val="Policepardfaut"/>
    <w:link w:val="Titre3"/>
    <w:uiPriority w:val="9"/>
    <w:semiHidden/>
    <w:rsid w:val="00CF3D9A"/>
    <w:rPr>
      <w:rFonts w:asciiTheme="majorHAnsi" w:eastAsiaTheme="majorEastAsia" w:hAnsiTheme="majorHAnsi" w:cstheme="majorBidi"/>
      <w:color w:val="243F60" w:themeColor="accent1" w:themeShade="7F"/>
      <w:sz w:val="24"/>
      <w:szCs w:val="24"/>
    </w:rPr>
  </w:style>
  <w:style w:type="paragraph" w:styleId="Lgende">
    <w:name w:val="caption"/>
    <w:next w:val="Normal"/>
    <w:link w:val="LgendeCar"/>
    <w:uiPriority w:val="12"/>
    <w:qFormat/>
    <w:rsid w:val="00CF3D9A"/>
    <w:pPr>
      <w:spacing w:before="120" w:after="60" w:line="240" w:lineRule="auto"/>
      <w:contextualSpacing/>
    </w:pPr>
    <w:rPr>
      <w:rFonts w:ascii="Times New Roman" w:eastAsia="Times New Roman" w:hAnsi="Times New Roman" w:cs="Times New Roman"/>
      <w:b/>
      <w:sz w:val="24"/>
      <w:szCs w:val="24"/>
      <w:lang w:eastAsia="fr-FR"/>
    </w:rPr>
  </w:style>
  <w:style w:type="paragraph" w:styleId="Listenumros2">
    <w:name w:val="List Number 2"/>
    <w:basedOn w:val="Normal"/>
    <w:uiPriority w:val="99"/>
    <w:rsid w:val="00CF3D9A"/>
    <w:pPr>
      <w:numPr>
        <w:numId w:val="15"/>
      </w:numPr>
      <w:spacing w:after="0" w:line="240" w:lineRule="auto"/>
      <w:ind w:left="568" w:hanging="284"/>
      <w:contextualSpacing/>
    </w:pPr>
    <w:rPr>
      <w:rFonts w:ascii="Times New Roman" w:eastAsia="Times New Roman" w:hAnsi="Times New Roman" w:cs="Times New Roman"/>
      <w:color w:val="FFC000"/>
      <w:sz w:val="24"/>
      <w:szCs w:val="24"/>
      <w:lang w:eastAsia="fr-FR"/>
    </w:rPr>
  </w:style>
  <w:style w:type="paragraph" w:customStyle="1" w:styleId="Texte">
    <w:name w:val="Texte"/>
    <w:next w:val="Normal"/>
    <w:link w:val="TexteCar"/>
    <w:uiPriority w:val="1"/>
    <w:qFormat/>
    <w:rsid w:val="00CF3D9A"/>
    <w:pPr>
      <w:spacing w:after="0" w:line="240" w:lineRule="auto"/>
      <w:contextualSpacing/>
      <w:jc w:val="both"/>
    </w:pPr>
    <w:rPr>
      <w:rFonts w:ascii="Times New Roman" w:eastAsia="Times New Roman" w:hAnsi="Times New Roman" w:cs="Times New Roman"/>
      <w:sz w:val="24"/>
      <w:szCs w:val="24"/>
      <w:lang w:eastAsia="fr-FR"/>
    </w:rPr>
  </w:style>
  <w:style w:type="character" w:customStyle="1" w:styleId="LgendeCar">
    <w:name w:val="Légende Car"/>
    <w:basedOn w:val="Policepardfaut"/>
    <w:link w:val="Lgende"/>
    <w:uiPriority w:val="12"/>
    <w:rsid w:val="00CF3D9A"/>
    <w:rPr>
      <w:rFonts w:ascii="Times New Roman" w:eastAsia="Times New Roman" w:hAnsi="Times New Roman" w:cs="Times New Roman"/>
      <w:b/>
      <w:sz w:val="24"/>
      <w:szCs w:val="24"/>
      <w:lang w:eastAsia="fr-FR"/>
    </w:rPr>
  </w:style>
  <w:style w:type="character" w:customStyle="1" w:styleId="TexteCar">
    <w:name w:val="Texte Car"/>
    <w:basedOn w:val="Policepardfaut"/>
    <w:link w:val="Texte"/>
    <w:uiPriority w:val="1"/>
    <w:rsid w:val="00CF3D9A"/>
    <w:rPr>
      <w:rFonts w:ascii="Times New Roman" w:eastAsia="Times New Roman" w:hAnsi="Times New Roman" w:cs="Times New Roman"/>
      <w:sz w:val="24"/>
      <w:szCs w:val="24"/>
      <w:lang w:eastAsia="fr-FR"/>
    </w:rPr>
  </w:style>
  <w:style w:type="paragraph" w:customStyle="1" w:styleId="Grandsous-titre">
    <w:name w:val="Grand sous-titre"/>
    <w:basedOn w:val="Sous-titre"/>
    <w:next w:val="Normal"/>
    <w:uiPriority w:val="28"/>
    <w:qFormat/>
    <w:rsid w:val="00CF3D9A"/>
    <w:pPr>
      <w:numPr>
        <w:ilvl w:val="0"/>
      </w:numPr>
      <w:spacing w:after="840" w:line="240" w:lineRule="auto"/>
      <w:jc w:val="center"/>
    </w:pPr>
    <w:rPr>
      <w:rFonts w:ascii="Arial Black" w:eastAsia="Times New Roman" w:hAnsi="Arial Black" w:cs="Times New Roman"/>
      <w:b/>
      <w:color w:val="auto"/>
      <w:spacing w:val="0"/>
      <w:sz w:val="24"/>
      <w:szCs w:val="24"/>
      <w:lang w:eastAsia="fr-FR"/>
    </w:rPr>
  </w:style>
  <w:style w:type="paragraph" w:styleId="Sous-titre">
    <w:name w:val="Subtitle"/>
    <w:basedOn w:val="Normal"/>
    <w:next w:val="Normal"/>
    <w:link w:val="Sous-titreCar"/>
    <w:uiPriority w:val="11"/>
    <w:qFormat/>
    <w:rsid w:val="00CF3D9A"/>
    <w:pPr>
      <w:numPr>
        <w:ilvl w:val="1"/>
      </w:numPr>
      <w:spacing w:after="160"/>
    </w:pPr>
    <w:rPr>
      <w:rFonts w:eastAsiaTheme="minorEastAsia"/>
      <w:color w:val="5A5A5A" w:themeColor="text1" w:themeTint="A5"/>
      <w:spacing w:val="15"/>
    </w:rPr>
  </w:style>
  <w:style w:type="character" w:customStyle="1" w:styleId="Sous-titreCar">
    <w:name w:val="Sous-titre Car"/>
    <w:basedOn w:val="Policepardfaut"/>
    <w:link w:val="Sous-titre"/>
    <w:uiPriority w:val="11"/>
    <w:rsid w:val="00CF3D9A"/>
    <w:rPr>
      <w:rFonts w:eastAsiaTheme="minorEastAsia"/>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92290126">
      <w:bodyDiv w:val="1"/>
      <w:marLeft w:val="0"/>
      <w:marRight w:val="0"/>
      <w:marTop w:val="0"/>
      <w:marBottom w:val="0"/>
      <w:divBdr>
        <w:top w:val="none" w:sz="0" w:space="0" w:color="auto"/>
        <w:left w:val="none" w:sz="0" w:space="0" w:color="auto"/>
        <w:bottom w:val="none" w:sz="0" w:space="0" w:color="auto"/>
        <w:right w:val="none" w:sz="0" w:space="0" w:color="auto"/>
      </w:divBdr>
      <w:divsChild>
        <w:div w:id="660699111">
          <w:marLeft w:val="300"/>
          <w:marRight w:val="450"/>
          <w:marTop w:val="300"/>
          <w:marBottom w:val="150"/>
          <w:divBdr>
            <w:top w:val="none" w:sz="0" w:space="0" w:color="auto"/>
            <w:left w:val="none" w:sz="0" w:space="0" w:color="auto"/>
            <w:bottom w:val="none" w:sz="0" w:space="0" w:color="auto"/>
            <w:right w:val="none" w:sz="0" w:space="0" w:color="auto"/>
          </w:divBdr>
        </w:div>
        <w:div w:id="1090196065">
          <w:marLeft w:val="300"/>
          <w:marRight w:val="450"/>
          <w:marTop w:val="300"/>
          <w:marBottom w:val="300"/>
          <w:divBdr>
            <w:top w:val="none" w:sz="0" w:space="0" w:color="auto"/>
            <w:left w:val="none" w:sz="0" w:space="0" w:color="auto"/>
            <w:bottom w:val="none" w:sz="0" w:space="0" w:color="auto"/>
            <w:right w:val="none" w:sz="0" w:space="0" w:color="auto"/>
          </w:divBdr>
        </w:div>
      </w:divsChild>
    </w:div>
    <w:div w:id="804736149">
      <w:bodyDiv w:val="1"/>
      <w:marLeft w:val="0"/>
      <w:marRight w:val="0"/>
      <w:marTop w:val="0"/>
      <w:marBottom w:val="0"/>
      <w:divBdr>
        <w:top w:val="none" w:sz="0" w:space="0" w:color="auto"/>
        <w:left w:val="none" w:sz="0" w:space="0" w:color="auto"/>
        <w:bottom w:val="none" w:sz="0" w:space="0" w:color="auto"/>
        <w:right w:val="none" w:sz="0" w:space="0" w:color="auto"/>
      </w:divBdr>
      <w:divsChild>
        <w:div w:id="249046670">
          <w:marLeft w:val="0"/>
          <w:marRight w:val="0"/>
          <w:marTop w:val="0"/>
          <w:marBottom w:val="0"/>
          <w:divBdr>
            <w:top w:val="none" w:sz="0" w:space="0" w:color="auto"/>
            <w:left w:val="none" w:sz="0" w:space="0" w:color="auto"/>
            <w:bottom w:val="none" w:sz="0" w:space="0" w:color="auto"/>
            <w:right w:val="none" w:sz="0" w:space="0" w:color="auto"/>
          </w:divBdr>
          <w:divsChild>
            <w:div w:id="1494418386">
              <w:marLeft w:val="-225"/>
              <w:marRight w:val="-225"/>
              <w:marTop w:val="0"/>
              <w:marBottom w:val="0"/>
              <w:divBdr>
                <w:top w:val="none" w:sz="0" w:space="0" w:color="auto"/>
                <w:left w:val="none" w:sz="0" w:space="0" w:color="auto"/>
                <w:bottom w:val="none" w:sz="0" w:space="0" w:color="auto"/>
                <w:right w:val="none" w:sz="0" w:space="0" w:color="auto"/>
              </w:divBdr>
              <w:divsChild>
                <w:div w:id="282158977">
                  <w:marLeft w:val="0"/>
                  <w:marRight w:val="0"/>
                  <w:marTop w:val="0"/>
                  <w:marBottom w:val="0"/>
                  <w:divBdr>
                    <w:top w:val="none" w:sz="0" w:space="0" w:color="auto"/>
                    <w:left w:val="none" w:sz="0" w:space="0" w:color="auto"/>
                    <w:bottom w:val="none" w:sz="0" w:space="0" w:color="auto"/>
                    <w:right w:val="none" w:sz="0" w:space="0" w:color="auto"/>
                  </w:divBdr>
                  <w:divsChild>
                    <w:div w:id="1550410309">
                      <w:marLeft w:val="0"/>
                      <w:marRight w:val="0"/>
                      <w:marTop w:val="0"/>
                      <w:marBottom w:val="90"/>
                      <w:divBdr>
                        <w:top w:val="none" w:sz="0" w:space="0" w:color="auto"/>
                        <w:left w:val="none" w:sz="0" w:space="0" w:color="auto"/>
                        <w:bottom w:val="none" w:sz="0" w:space="0" w:color="auto"/>
                        <w:right w:val="none" w:sz="0" w:space="0" w:color="auto"/>
                      </w:divBdr>
                      <w:divsChild>
                        <w:div w:id="440418194">
                          <w:marLeft w:val="0"/>
                          <w:marRight w:val="0"/>
                          <w:marTop w:val="0"/>
                          <w:marBottom w:val="0"/>
                          <w:divBdr>
                            <w:top w:val="none" w:sz="0" w:space="0" w:color="auto"/>
                            <w:left w:val="none" w:sz="0" w:space="0" w:color="auto"/>
                            <w:bottom w:val="none" w:sz="0" w:space="0" w:color="auto"/>
                            <w:right w:val="none" w:sz="0" w:space="0" w:color="auto"/>
                          </w:divBdr>
                          <w:divsChild>
                            <w:div w:id="194654882">
                              <w:marLeft w:val="300"/>
                              <w:marRight w:val="450"/>
                              <w:marTop w:val="30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6982912">
      <w:bodyDiv w:val="1"/>
      <w:marLeft w:val="0"/>
      <w:marRight w:val="0"/>
      <w:marTop w:val="0"/>
      <w:marBottom w:val="0"/>
      <w:divBdr>
        <w:top w:val="none" w:sz="0" w:space="0" w:color="auto"/>
        <w:left w:val="none" w:sz="0" w:space="0" w:color="auto"/>
        <w:bottom w:val="none" w:sz="0" w:space="0" w:color="auto"/>
        <w:right w:val="none" w:sz="0" w:space="0" w:color="auto"/>
      </w:divBdr>
      <w:divsChild>
        <w:div w:id="791174679">
          <w:marLeft w:val="0"/>
          <w:marRight w:val="0"/>
          <w:marTop w:val="0"/>
          <w:marBottom w:val="0"/>
          <w:divBdr>
            <w:top w:val="none" w:sz="0" w:space="0" w:color="auto"/>
            <w:left w:val="none" w:sz="0" w:space="0" w:color="auto"/>
            <w:bottom w:val="none" w:sz="0" w:space="0" w:color="auto"/>
            <w:right w:val="none" w:sz="0" w:space="0" w:color="auto"/>
          </w:divBdr>
          <w:divsChild>
            <w:div w:id="516701109">
              <w:marLeft w:val="0"/>
              <w:marRight w:val="0"/>
              <w:marTop w:val="0"/>
              <w:marBottom w:val="0"/>
              <w:divBdr>
                <w:top w:val="none" w:sz="0" w:space="0" w:color="auto"/>
                <w:left w:val="none" w:sz="0" w:space="0" w:color="auto"/>
                <w:bottom w:val="none" w:sz="0" w:space="0" w:color="auto"/>
                <w:right w:val="none" w:sz="0" w:space="0" w:color="auto"/>
              </w:divBdr>
              <w:divsChild>
                <w:div w:id="35010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6959373">
      <w:bodyDiv w:val="1"/>
      <w:marLeft w:val="0"/>
      <w:marRight w:val="0"/>
      <w:marTop w:val="0"/>
      <w:marBottom w:val="0"/>
      <w:divBdr>
        <w:top w:val="none" w:sz="0" w:space="0" w:color="auto"/>
        <w:left w:val="none" w:sz="0" w:space="0" w:color="auto"/>
        <w:bottom w:val="none" w:sz="0" w:space="0" w:color="auto"/>
        <w:right w:val="none" w:sz="0" w:space="0" w:color="auto"/>
      </w:divBdr>
    </w:div>
    <w:div w:id="1571889227">
      <w:bodyDiv w:val="1"/>
      <w:marLeft w:val="0"/>
      <w:marRight w:val="0"/>
      <w:marTop w:val="0"/>
      <w:marBottom w:val="0"/>
      <w:divBdr>
        <w:top w:val="none" w:sz="0" w:space="0" w:color="auto"/>
        <w:left w:val="none" w:sz="0" w:space="0" w:color="auto"/>
        <w:bottom w:val="none" w:sz="0" w:space="0" w:color="auto"/>
        <w:right w:val="none" w:sz="0" w:space="0" w:color="auto"/>
      </w:divBdr>
      <w:divsChild>
        <w:div w:id="255752063">
          <w:marLeft w:val="0"/>
          <w:marRight w:val="0"/>
          <w:marTop w:val="0"/>
          <w:marBottom w:val="0"/>
          <w:divBdr>
            <w:top w:val="none" w:sz="0" w:space="0" w:color="auto"/>
            <w:left w:val="none" w:sz="0" w:space="0" w:color="auto"/>
            <w:bottom w:val="none" w:sz="0" w:space="0" w:color="auto"/>
            <w:right w:val="none" w:sz="0" w:space="0" w:color="auto"/>
          </w:divBdr>
          <w:divsChild>
            <w:div w:id="270862941">
              <w:marLeft w:val="-225"/>
              <w:marRight w:val="-225"/>
              <w:marTop w:val="0"/>
              <w:marBottom w:val="0"/>
              <w:divBdr>
                <w:top w:val="none" w:sz="0" w:space="0" w:color="auto"/>
                <w:left w:val="none" w:sz="0" w:space="0" w:color="auto"/>
                <w:bottom w:val="none" w:sz="0" w:space="0" w:color="auto"/>
                <w:right w:val="none" w:sz="0" w:space="0" w:color="auto"/>
              </w:divBdr>
              <w:divsChild>
                <w:div w:id="332729752">
                  <w:marLeft w:val="0"/>
                  <w:marRight w:val="0"/>
                  <w:marTop w:val="0"/>
                  <w:marBottom w:val="0"/>
                  <w:divBdr>
                    <w:top w:val="none" w:sz="0" w:space="0" w:color="auto"/>
                    <w:left w:val="none" w:sz="0" w:space="0" w:color="auto"/>
                    <w:bottom w:val="none" w:sz="0" w:space="0" w:color="auto"/>
                    <w:right w:val="none" w:sz="0" w:space="0" w:color="auto"/>
                  </w:divBdr>
                  <w:divsChild>
                    <w:div w:id="172036968">
                      <w:marLeft w:val="0"/>
                      <w:marRight w:val="0"/>
                      <w:marTop w:val="0"/>
                      <w:marBottom w:val="90"/>
                      <w:divBdr>
                        <w:top w:val="none" w:sz="0" w:space="0" w:color="auto"/>
                        <w:left w:val="none" w:sz="0" w:space="0" w:color="auto"/>
                        <w:bottom w:val="none" w:sz="0" w:space="0" w:color="auto"/>
                        <w:right w:val="none" w:sz="0" w:space="0" w:color="auto"/>
                      </w:divBdr>
                      <w:divsChild>
                        <w:div w:id="493033661">
                          <w:marLeft w:val="0"/>
                          <w:marRight w:val="0"/>
                          <w:marTop w:val="0"/>
                          <w:marBottom w:val="0"/>
                          <w:divBdr>
                            <w:top w:val="none" w:sz="0" w:space="0" w:color="auto"/>
                            <w:left w:val="none" w:sz="0" w:space="0" w:color="auto"/>
                            <w:bottom w:val="none" w:sz="0" w:space="0" w:color="auto"/>
                            <w:right w:val="none" w:sz="0" w:space="0" w:color="auto"/>
                          </w:divBdr>
                          <w:divsChild>
                            <w:div w:id="1161584657">
                              <w:marLeft w:val="300"/>
                              <w:marRight w:val="450"/>
                              <w:marTop w:val="30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5423340">
      <w:bodyDiv w:val="1"/>
      <w:marLeft w:val="0"/>
      <w:marRight w:val="0"/>
      <w:marTop w:val="0"/>
      <w:marBottom w:val="0"/>
      <w:divBdr>
        <w:top w:val="none" w:sz="0" w:space="0" w:color="auto"/>
        <w:left w:val="none" w:sz="0" w:space="0" w:color="auto"/>
        <w:bottom w:val="none" w:sz="0" w:space="0" w:color="auto"/>
        <w:right w:val="none" w:sz="0" w:space="0" w:color="auto"/>
      </w:divBdr>
      <w:divsChild>
        <w:div w:id="951135526">
          <w:marLeft w:val="300"/>
          <w:marRight w:val="300"/>
          <w:marTop w:val="300"/>
          <w:marBottom w:val="300"/>
          <w:divBdr>
            <w:top w:val="none" w:sz="0" w:space="0" w:color="auto"/>
            <w:left w:val="none" w:sz="0" w:space="0" w:color="auto"/>
            <w:bottom w:val="none" w:sz="0" w:space="0" w:color="auto"/>
            <w:right w:val="none" w:sz="0" w:space="0" w:color="auto"/>
          </w:divBdr>
        </w:div>
        <w:div w:id="1945646103">
          <w:marLeft w:val="300"/>
          <w:marRight w:val="300"/>
          <w:marTop w:val="300"/>
          <w:marBottom w:val="300"/>
          <w:divBdr>
            <w:top w:val="none" w:sz="0" w:space="0" w:color="auto"/>
            <w:left w:val="none" w:sz="0" w:space="0" w:color="auto"/>
            <w:bottom w:val="none" w:sz="0" w:space="0" w:color="auto"/>
            <w:right w:val="none" w:sz="0" w:space="0" w:color="auto"/>
          </w:divBdr>
          <w:divsChild>
            <w:div w:id="1867327425">
              <w:marLeft w:val="0"/>
              <w:marRight w:val="0"/>
              <w:marTop w:val="0"/>
              <w:marBottom w:val="30"/>
              <w:divBdr>
                <w:top w:val="none" w:sz="0" w:space="0" w:color="auto"/>
                <w:left w:val="none" w:sz="0" w:space="0" w:color="auto"/>
                <w:bottom w:val="none" w:sz="0" w:space="0" w:color="auto"/>
                <w:right w:val="none" w:sz="0" w:space="0" w:color="auto"/>
              </w:divBdr>
              <w:divsChild>
                <w:div w:id="508905383">
                  <w:marLeft w:val="0"/>
                  <w:marRight w:val="0"/>
                  <w:marTop w:val="0"/>
                  <w:marBottom w:val="0"/>
                  <w:divBdr>
                    <w:top w:val="none" w:sz="0" w:space="0" w:color="auto"/>
                    <w:left w:val="none" w:sz="0" w:space="0" w:color="auto"/>
                    <w:bottom w:val="none" w:sz="0" w:space="0" w:color="auto"/>
                    <w:right w:val="none" w:sz="0" w:space="0" w:color="auto"/>
                  </w:divBdr>
                </w:div>
              </w:divsChild>
            </w:div>
            <w:div w:id="220018044">
              <w:marLeft w:val="0"/>
              <w:marRight w:val="0"/>
              <w:marTop w:val="0"/>
              <w:marBottom w:val="30"/>
              <w:divBdr>
                <w:top w:val="none" w:sz="0" w:space="0" w:color="auto"/>
                <w:left w:val="none" w:sz="0" w:space="0" w:color="auto"/>
                <w:bottom w:val="none" w:sz="0" w:space="0" w:color="auto"/>
                <w:right w:val="none" w:sz="0" w:space="0" w:color="auto"/>
              </w:divBdr>
              <w:divsChild>
                <w:div w:id="81422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847449">
      <w:bodyDiv w:val="1"/>
      <w:marLeft w:val="0"/>
      <w:marRight w:val="0"/>
      <w:marTop w:val="0"/>
      <w:marBottom w:val="0"/>
      <w:divBdr>
        <w:top w:val="none" w:sz="0" w:space="0" w:color="auto"/>
        <w:left w:val="none" w:sz="0" w:space="0" w:color="auto"/>
        <w:bottom w:val="none" w:sz="0" w:space="0" w:color="auto"/>
        <w:right w:val="none" w:sz="0" w:space="0" w:color="auto"/>
      </w:divBdr>
      <w:divsChild>
        <w:div w:id="848717530">
          <w:marLeft w:val="0"/>
          <w:marRight w:val="0"/>
          <w:marTop w:val="0"/>
          <w:marBottom w:val="0"/>
          <w:divBdr>
            <w:top w:val="none" w:sz="0" w:space="0" w:color="auto"/>
            <w:left w:val="none" w:sz="0" w:space="0" w:color="auto"/>
            <w:bottom w:val="none" w:sz="0" w:space="0" w:color="auto"/>
            <w:right w:val="none" w:sz="0" w:space="0" w:color="auto"/>
          </w:divBdr>
          <w:divsChild>
            <w:div w:id="1540580937">
              <w:marLeft w:val="0"/>
              <w:marRight w:val="0"/>
              <w:marTop w:val="0"/>
              <w:marBottom w:val="0"/>
              <w:divBdr>
                <w:top w:val="none" w:sz="0" w:space="0" w:color="auto"/>
                <w:left w:val="none" w:sz="0" w:space="0" w:color="auto"/>
                <w:bottom w:val="none" w:sz="0" w:space="0" w:color="auto"/>
                <w:right w:val="none" w:sz="0" w:space="0" w:color="auto"/>
              </w:divBdr>
              <w:divsChild>
                <w:div w:id="139370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124170">
      <w:bodyDiv w:val="1"/>
      <w:marLeft w:val="0"/>
      <w:marRight w:val="0"/>
      <w:marTop w:val="0"/>
      <w:marBottom w:val="0"/>
      <w:divBdr>
        <w:top w:val="none" w:sz="0" w:space="0" w:color="auto"/>
        <w:left w:val="none" w:sz="0" w:space="0" w:color="auto"/>
        <w:bottom w:val="none" w:sz="0" w:space="0" w:color="auto"/>
        <w:right w:val="none" w:sz="0" w:space="0" w:color="auto"/>
      </w:divBdr>
    </w:div>
    <w:div w:id="1916356202">
      <w:bodyDiv w:val="1"/>
      <w:marLeft w:val="0"/>
      <w:marRight w:val="0"/>
      <w:marTop w:val="0"/>
      <w:marBottom w:val="0"/>
      <w:divBdr>
        <w:top w:val="none" w:sz="0" w:space="0" w:color="auto"/>
        <w:left w:val="none" w:sz="0" w:space="0" w:color="auto"/>
        <w:bottom w:val="none" w:sz="0" w:space="0" w:color="auto"/>
        <w:right w:val="none" w:sz="0" w:space="0" w:color="auto"/>
      </w:divBdr>
      <w:divsChild>
        <w:div w:id="594091653">
          <w:marLeft w:val="0"/>
          <w:marRight w:val="0"/>
          <w:marTop w:val="0"/>
          <w:marBottom w:val="0"/>
          <w:divBdr>
            <w:top w:val="none" w:sz="0" w:space="0" w:color="auto"/>
            <w:left w:val="none" w:sz="0" w:space="0" w:color="auto"/>
            <w:bottom w:val="none" w:sz="0" w:space="0" w:color="auto"/>
            <w:right w:val="none" w:sz="0" w:space="0" w:color="auto"/>
          </w:divBdr>
          <w:divsChild>
            <w:div w:id="391276719">
              <w:marLeft w:val="-225"/>
              <w:marRight w:val="-225"/>
              <w:marTop w:val="0"/>
              <w:marBottom w:val="0"/>
              <w:divBdr>
                <w:top w:val="none" w:sz="0" w:space="0" w:color="auto"/>
                <w:left w:val="none" w:sz="0" w:space="0" w:color="auto"/>
                <w:bottom w:val="none" w:sz="0" w:space="0" w:color="auto"/>
                <w:right w:val="none" w:sz="0" w:space="0" w:color="auto"/>
              </w:divBdr>
              <w:divsChild>
                <w:div w:id="450441480">
                  <w:marLeft w:val="0"/>
                  <w:marRight w:val="0"/>
                  <w:marTop w:val="0"/>
                  <w:marBottom w:val="0"/>
                  <w:divBdr>
                    <w:top w:val="none" w:sz="0" w:space="0" w:color="auto"/>
                    <w:left w:val="none" w:sz="0" w:space="0" w:color="auto"/>
                    <w:bottom w:val="none" w:sz="0" w:space="0" w:color="auto"/>
                    <w:right w:val="none" w:sz="0" w:space="0" w:color="auto"/>
                  </w:divBdr>
                  <w:divsChild>
                    <w:div w:id="278686051">
                      <w:marLeft w:val="0"/>
                      <w:marRight w:val="0"/>
                      <w:marTop w:val="0"/>
                      <w:marBottom w:val="90"/>
                      <w:divBdr>
                        <w:top w:val="none" w:sz="0" w:space="0" w:color="auto"/>
                        <w:left w:val="none" w:sz="0" w:space="0" w:color="auto"/>
                        <w:bottom w:val="none" w:sz="0" w:space="0" w:color="auto"/>
                        <w:right w:val="none" w:sz="0" w:space="0" w:color="auto"/>
                      </w:divBdr>
                      <w:divsChild>
                        <w:div w:id="1082071132">
                          <w:marLeft w:val="0"/>
                          <w:marRight w:val="0"/>
                          <w:marTop w:val="0"/>
                          <w:marBottom w:val="0"/>
                          <w:divBdr>
                            <w:top w:val="none" w:sz="0" w:space="0" w:color="auto"/>
                            <w:left w:val="none" w:sz="0" w:space="0" w:color="auto"/>
                            <w:bottom w:val="none" w:sz="0" w:space="0" w:color="auto"/>
                            <w:right w:val="none" w:sz="0" w:space="0" w:color="auto"/>
                          </w:divBdr>
                          <w:divsChild>
                            <w:div w:id="364063922">
                              <w:marLeft w:val="300"/>
                              <w:marRight w:val="450"/>
                              <w:marTop w:val="30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5357956">
      <w:bodyDiv w:val="1"/>
      <w:marLeft w:val="0"/>
      <w:marRight w:val="0"/>
      <w:marTop w:val="0"/>
      <w:marBottom w:val="0"/>
      <w:divBdr>
        <w:top w:val="none" w:sz="0" w:space="0" w:color="auto"/>
        <w:left w:val="none" w:sz="0" w:space="0" w:color="auto"/>
        <w:bottom w:val="none" w:sz="0" w:space="0" w:color="auto"/>
        <w:right w:val="none" w:sz="0" w:space="0" w:color="auto"/>
      </w:divBdr>
    </w:div>
    <w:div w:id="2106685842">
      <w:bodyDiv w:val="1"/>
      <w:marLeft w:val="0"/>
      <w:marRight w:val="0"/>
      <w:marTop w:val="0"/>
      <w:marBottom w:val="0"/>
      <w:divBdr>
        <w:top w:val="none" w:sz="0" w:space="0" w:color="auto"/>
        <w:left w:val="none" w:sz="0" w:space="0" w:color="auto"/>
        <w:bottom w:val="none" w:sz="0" w:space="0" w:color="auto"/>
        <w:right w:val="none" w:sz="0" w:space="0" w:color="auto"/>
      </w:divBdr>
      <w:divsChild>
        <w:div w:id="989943640">
          <w:marLeft w:val="0"/>
          <w:marRight w:val="0"/>
          <w:marTop w:val="0"/>
          <w:marBottom w:val="0"/>
          <w:divBdr>
            <w:top w:val="none" w:sz="0" w:space="0" w:color="auto"/>
            <w:left w:val="none" w:sz="0" w:space="0" w:color="auto"/>
            <w:bottom w:val="none" w:sz="0" w:space="0" w:color="auto"/>
            <w:right w:val="none" w:sz="0" w:space="0" w:color="auto"/>
          </w:divBdr>
          <w:divsChild>
            <w:div w:id="1618482786">
              <w:marLeft w:val="-225"/>
              <w:marRight w:val="-225"/>
              <w:marTop w:val="0"/>
              <w:marBottom w:val="0"/>
              <w:divBdr>
                <w:top w:val="none" w:sz="0" w:space="0" w:color="auto"/>
                <w:left w:val="none" w:sz="0" w:space="0" w:color="auto"/>
                <w:bottom w:val="none" w:sz="0" w:space="0" w:color="auto"/>
                <w:right w:val="none" w:sz="0" w:space="0" w:color="auto"/>
              </w:divBdr>
              <w:divsChild>
                <w:div w:id="174463694">
                  <w:marLeft w:val="0"/>
                  <w:marRight w:val="0"/>
                  <w:marTop w:val="0"/>
                  <w:marBottom w:val="0"/>
                  <w:divBdr>
                    <w:top w:val="none" w:sz="0" w:space="0" w:color="auto"/>
                    <w:left w:val="none" w:sz="0" w:space="0" w:color="auto"/>
                    <w:bottom w:val="none" w:sz="0" w:space="0" w:color="auto"/>
                    <w:right w:val="none" w:sz="0" w:space="0" w:color="auto"/>
                  </w:divBdr>
                  <w:divsChild>
                    <w:div w:id="895161629">
                      <w:marLeft w:val="0"/>
                      <w:marRight w:val="0"/>
                      <w:marTop w:val="0"/>
                      <w:marBottom w:val="90"/>
                      <w:divBdr>
                        <w:top w:val="none" w:sz="0" w:space="0" w:color="auto"/>
                        <w:left w:val="none" w:sz="0" w:space="0" w:color="auto"/>
                        <w:bottom w:val="none" w:sz="0" w:space="0" w:color="auto"/>
                        <w:right w:val="none" w:sz="0" w:space="0" w:color="auto"/>
                      </w:divBdr>
                      <w:divsChild>
                        <w:div w:id="250241843">
                          <w:marLeft w:val="0"/>
                          <w:marRight w:val="0"/>
                          <w:marTop w:val="0"/>
                          <w:marBottom w:val="0"/>
                          <w:divBdr>
                            <w:top w:val="none" w:sz="0" w:space="0" w:color="auto"/>
                            <w:left w:val="none" w:sz="0" w:space="0" w:color="auto"/>
                            <w:bottom w:val="none" w:sz="0" w:space="0" w:color="auto"/>
                            <w:right w:val="none" w:sz="0" w:space="0" w:color="auto"/>
                          </w:divBdr>
                          <w:divsChild>
                            <w:div w:id="1848014453">
                              <w:marLeft w:val="300"/>
                              <w:marRight w:val="450"/>
                              <w:marTop w:val="30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7503420">
      <w:bodyDiv w:val="1"/>
      <w:marLeft w:val="0"/>
      <w:marRight w:val="0"/>
      <w:marTop w:val="0"/>
      <w:marBottom w:val="0"/>
      <w:divBdr>
        <w:top w:val="none" w:sz="0" w:space="0" w:color="auto"/>
        <w:left w:val="none" w:sz="0" w:space="0" w:color="auto"/>
        <w:bottom w:val="none" w:sz="0" w:space="0" w:color="auto"/>
        <w:right w:val="none" w:sz="0" w:space="0" w:color="auto"/>
      </w:divBdr>
      <w:divsChild>
        <w:div w:id="1271552676">
          <w:marLeft w:val="300"/>
          <w:marRight w:val="450"/>
          <w:marTop w:val="300"/>
          <w:marBottom w:val="150"/>
          <w:divBdr>
            <w:top w:val="none" w:sz="0" w:space="0" w:color="auto"/>
            <w:left w:val="none" w:sz="0" w:space="0" w:color="auto"/>
            <w:bottom w:val="none" w:sz="0" w:space="0" w:color="auto"/>
            <w:right w:val="none" w:sz="0" w:space="0" w:color="auto"/>
          </w:divBdr>
        </w:div>
        <w:div w:id="1736393215">
          <w:marLeft w:val="300"/>
          <w:marRight w:val="450"/>
          <w:marTop w:val="300"/>
          <w:marBottom w:val="3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chart" Target="charts/chart2.xml"/><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chart" Target="charts/chart6.xml"/><Relationship Id="rId2" Type="http://schemas.openxmlformats.org/officeDocument/2006/relationships/numbering" Target="numbering.xml"/><Relationship Id="rId16" Type="http://schemas.openxmlformats.org/officeDocument/2006/relationships/chart" Target="charts/chart5.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chart" Target="charts/chart4.xml"/><Relationship Id="rId10" Type="http://schemas.openxmlformats.org/officeDocument/2006/relationships/image" Target="media/image2.jp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chart" Target="charts/chart3.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yabouter\Desktop\Ferdi\1.%20Fiscalit&#233;%20mini&#232;re%20(2015)\Formation%20IHEDD\Mod&#232;le%20avec%20graphiques\Mod&#232;le%20avec%20graphiques%20(14.12.2020)%20M&#233;lanie.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yabouter\Desktop\Ferdi\1.%20Fiscalit&#233;%20mini&#232;re%20(2015)\Formation%20IHEDD\Mod&#232;le%20avec%20graphiques\Mod&#232;le%20avec%20graphiques%20(14.12.2020)%20M&#233;lanie.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yabouter\Desktop\Ferdi\1.%20Fiscalit&#233;%20mini&#232;re%20(2015)\Formation%20IHEDD\Mod&#232;le%20avec%20graphiques\Mod&#232;le%20avec%20graphiques%20(14.12.2020)%20M&#233;lanie.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yabouter\Desktop\Ferdi\1.%20Fiscalit&#233;%20mini&#232;re%20(2015)\Formation%20IHEDD\Mod&#232;le%20avec%20graphiques\Mod&#232;le%20avec%20graphiques%20(14.12.2020)%20M&#233;lanie.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yabouter\Desktop\Ferdi\1.%20Fiscalit&#233;%20mini&#232;re%20(2015)\Formation%20IHEDD\Mod&#232;le%20avec%20graphiques\Mod&#232;le%20avec%20graphiques%20(14.12.2020)%20M&#233;lanie.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yabouter\Desktop\Ferdi\1.%20Fiscalit&#233;%20mini&#232;re%20(2015)\Formation%20IHEDD\Mod&#232;le%20avec%20graphiques\Mod&#232;le%20avec%20graphiques%20(14.12.2020)%20M&#233;lanie.xlsx" TargetMode="External"/><Relationship Id="rId2" Type="http://schemas.microsoft.com/office/2011/relationships/chartColorStyle" Target="colors6.xml"/><Relationship Id="rId1" Type="http://schemas.microsoft.com/office/2011/relationships/chartStyle" Target="style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stacked"/>
        <c:varyColors val="0"/>
        <c:ser>
          <c:idx val="0"/>
          <c:order val="0"/>
          <c:tx>
            <c:strRef>
              <c:f>Graphiques!$A$107</c:f>
              <c:strCache>
                <c:ptCount val="1"/>
                <c:pt idx="0">
                  <c:v>Année</c:v>
                </c:pt>
              </c:strCache>
            </c:strRef>
          </c:tx>
          <c:spPr>
            <a:solidFill>
              <a:schemeClr val="accent1"/>
            </a:solidFill>
            <a:ln>
              <a:noFill/>
            </a:ln>
            <a:effectLst/>
          </c:spPr>
          <c:invertIfNegative val="0"/>
          <c:val>
            <c:numRef>
              <c:f>Graphiques!$A$108:$A$118</c:f>
              <c:numCache>
                <c:formatCode>General</c:formatCode>
                <c:ptCount val="11"/>
                <c:pt idx="0">
                  <c:v>1</c:v>
                </c:pt>
                <c:pt idx="1">
                  <c:v>2</c:v>
                </c:pt>
                <c:pt idx="2">
                  <c:v>3</c:v>
                </c:pt>
                <c:pt idx="3">
                  <c:v>4</c:v>
                </c:pt>
                <c:pt idx="4">
                  <c:v>5</c:v>
                </c:pt>
                <c:pt idx="5">
                  <c:v>6</c:v>
                </c:pt>
                <c:pt idx="6">
                  <c:v>7</c:v>
                </c:pt>
                <c:pt idx="7">
                  <c:v>8</c:v>
                </c:pt>
                <c:pt idx="8">
                  <c:v>9</c:v>
                </c:pt>
                <c:pt idx="9">
                  <c:v>10</c:v>
                </c:pt>
                <c:pt idx="10">
                  <c:v>11</c:v>
                </c:pt>
              </c:numCache>
            </c:numRef>
          </c:val>
          <c:extLst>
            <c:ext xmlns:c16="http://schemas.microsoft.com/office/drawing/2014/chart" uri="{C3380CC4-5D6E-409C-BE32-E72D297353CC}">
              <c16:uniqueId val="{00000000-723F-4DA9-A8A0-4A780050B449}"/>
            </c:ext>
          </c:extLst>
        </c:ser>
        <c:ser>
          <c:idx val="1"/>
          <c:order val="1"/>
          <c:tx>
            <c:strRef>
              <c:f>Graphiques!$B$107</c:f>
              <c:strCache>
                <c:ptCount val="1"/>
                <c:pt idx="0">
                  <c:v>Constructions</c:v>
                </c:pt>
              </c:strCache>
            </c:strRef>
          </c:tx>
          <c:spPr>
            <a:solidFill>
              <a:srgbClr val="FFC000"/>
            </a:solidFill>
            <a:ln>
              <a:noFill/>
            </a:ln>
            <a:effectLst/>
          </c:spPr>
          <c:invertIfNegative val="0"/>
          <c:val>
            <c:numRef>
              <c:f>Graphiques!$B$108:$B$118</c:f>
              <c:numCache>
                <c:formatCode>#,##0</c:formatCode>
                <c:ptCount val="11"/>
                <c:pt idx="0">
                  <c:v>50000000</c:v>
                </c:pt>
                <c:pt idx="1">
                  <c:v>100000000</c:v>
                </c:pt>
                <c:pt idx="2">
                  <c:v>0</c:v>
                </c:pt>
                <c:pt idx="3">
                  <c:v>0</c:v>
                </c:pt>
                <c:pt idx="4">
                  <c:v>0</c:v>
                </c:pt>
                <c:pt idx="5">
                  <c:v>0</c:v>
                </c:pt>
                <c:pt idx="6">
                  <c:v>0</c:v>
                </c:pt>
                <c:pt idx="7">
                  <c:v>0</c:v>
                </c:pt>
                <c:pt idx="8">
                  <c:v>0</c:v>
                </c:pt>
                <c:pt idx="9">
                  <c:v>0</c:v>
                </c:pt>
                <c:pt idx="10">
                  <c:v>0</c:v>
                </c:pt>
              </c:numCache>
            </c:numRef>
          </c:val>
          <c:extLst>
            <c:ext xmlns:c16="http://schemas.microsoft.com/office/drawing/2014/chart" uri="{C3380CC4-5D6E-409C-BE32-E72D297353CC}">
              <c16:uniqueId val="{00000001-723F-4DA9-A8A0-4A780050B449}"/>
            </c:ext>
          </c:extLst>
        </c:ser>
        <c:ser>
          <c:idx val="2"/>
          <c:order val="2"/>
          <c:tx>
            <c:strRef>
              <c:f>Graphiques!$C$107</c:f>
              <c:strCache>
                <c:ptCount val="1"/>
                <c:pt idx="0">
                  <c:v>Biens d'équipement</c:v>
                </c:pt>
              </c:strCache>
            </c:strRef>
          </c:tx>
          <c:spPr>
            <a:solidFill>
              <a:srgbClr val="E3A728"/>
            </a:solidFill>
            <a:ln>
              <a:noFill/>
            </a:ln>
            <a:effectLst/>
          </c:spPr>
          <c:invertIfNegative val="0"/>
          <c:val>
            <c:numRef>
              <c:f>Graphiques!$C$108:$C$118</c:f>
              <c:numCache>
                <c:formatCode>#,##0</c:formatCode>
                <c:ptCount val="11"/>
                <c:pt idx="0">
                  <c:v>0</c:v>
                </c:pt>
                <c:pt idx="1">
                  <c:v>50000000</c:v>
                </c:pt>
                <c:pt idx="2">
                  <c:v>5000000</c:v>
                </c:pt>
                <c:pt idx="3">
                  <c:v>5000000</c:v>
                </c:pt>
                <c:pt idx="4">
                  <c:v>5000000</c:v>
                </c:pt>
                <c:pt idx="5">
                  <c:v>5000000</c:v>
                </c:pt>
                <c:pt idx="6">
                  <c:v>5000000</c:v>
                </c:pt>
                <c:pt idx="7">
                  <c:v>5000000</c:v>
                </c:pt>
                <c:pt idx="8">
                  <c:v>5000000</c:v>
                </c:pt>
                <c:pt idx="9">
                  <c:v>5000000</c:v>
                </c:pt>
                <c:pt idx="10">
                  <c:v>0</c:v>
                </c:pt>
              </c:numCache>
            </c:numRef>
          </c:val>
          <c:extLst>
            <c:ext xmlns:c16="http://schemas.microsoft.com/office/drawing/2014/chart" uri="{C3380CC4-5D6E-409C-BE32-E72D297353CC}">
              <c16:uniqueId val="{00000002-723F-4DA9-A8A0-4A780050B449}"/>
            </c:ext>
          </c:extLst>
        </c:ser>
        <c:ser>
          <c:idx val="3"/>
          <c:order val="3"/>
          <c:tx>
            <c:strRef>
              <c:f>Graphiques!$D$107</c:f>
              <c:strCache>
                <c:ptCount val="1"/>
                <c:pt idx="0">
                  <c:v>Réhabilitation</c:v>
                </c:pt>
              </c:strCache>
            </c:strRef>
          </c:tx>
          <c:spPr>
            <a:solidFill>
              <a:srgbClr val="104258"/>
            </a:solidFill>
            <a:ln>
              <a:noFill/>
            </a:ln>
            <a:effectLst/>
          </c:spPr>
          <c:invertIfNegative val="0"/>
          <c:val>
            <c:numRef>
              <c:f>Graphiques!$D$108:$D$118</c:f>
              <c:numCache>
                <c:formatCode>#,##0</c:formatCode>
                <c:ptCount val="11"/>
                <c:pt idx="0">
                  <c:v>0</c:v>
                </c:pt>
                <c:pt idx="1">
                  <c:v>0</c:v>
                </c:pt>
                <c:pt idx="2">
                  <c:v>0</c:v>
                </c:pt>
                <c:pt idx="3">
                  <c:v>0</c:v>
                </c:pt>
                <c:pt idx="4">
                  <c:v>0</c:v>
                </c:pt>
                <c:pt idx="5">
                  <c:v>0</c:v>
                </c:pt>
                <c:pt idx="6">
                  <c:v>0</c:v>
                </c:pt>
                <c:pt idx="7">
                  <c:v>0</c:v>
                </c:pt>
                <c:pt idx="8">
                  <c:v>0</c:v>
                </c:pt>
                <c:pt idx="9">
                  <c:v>0</c:v>
                </c:pt>
                <c:pt idx="10">
                  <c:v>10000000</c:v>
                </c:pt>
              </c:numCache>
            </c:numRef>
          </c:val>
          <c:extLst>
            <c:ext xmlns:c16="http://schemas.microsoft.com/office/drawing/2014/chart" uri="{C3380CC4-5D6E-409C-BE32-E72D297353CC}">
              <c16:uniqueId val="{00000003-723F-4DA9-A8A0-4A780050B449}"/>
            </c:ext>
          </c:extLst>
        </c:ser>
        <c:ser>
          <c:idx val="4"/>
          <c:order val="4"/>
          <c:tx>
            <c:strRef>
              <c:f>Graphiques!$E$107</c:f>
              <c:strCache>
                <c:ptCount val="1"/>
                <c:pt idx="0">
                  <c:v>Exploitation</c:v>
                </c:pt>
              </c:strCache>
            </c:strRef>
          </c:tx>
          <c:spPr>
            <a:solidFill>
              <a:srgbClr val="026E8F"/>
            </a:solidFill>
            <a:ln>
              <a:noFill/>
            </a:ln>
            <a:effectLst/>
          </c:spPr>
          <c:invertIfNegative val="0"/>
          <c:val>
            <c:numRef>
              <c:f>Graphiques!$E$108:$E$118</c:f>
              <c:numCache>
                <c:formatCode>#,##0</c:formatCode>
                <c:ptCount val="11"/>
                <c:pt idx="0">
                  <c:v>0</c:v>
                </c:pt>
                <c:pt idx="1">
                  <c:v>0</c:v>
                </c:pt>
                <c:pt idx="2">
                  <c:v>175000000</c:v>
                </c:pt>
                <c:pt idx="3">
                  <c:v>175000000</c:v>
                </c:pt>
                <c:pt idx="4">
                  <c:v>175000000</c:v>
                </c:pt>
                <c:pt idx="5">
                  <c:v>175000000</c:v>
                </c:pt>
                <c:pt idx="6">
                  <c:v>175000000</c:v>
                </c:pt>
                <c:pt idx="7">
                  <c:v>175000000</c:v>
                </c:pt>
                <c:pt idx="8">
                  <c:v>175000000</c:v>
                </c:pt>
                <c:pt idx="9">
                  <c:v>175000000</c:v>
                </c:pt>
                <c:pt idx="10">
                  <c:v>0</c:v>
                </c:pt>
              </c:numCache>
            </c:numRef>
          </c:val>
          <c:extLst>
            <c:ext xmlns:c16="http://schemas.microsoft.com/office/drawing/2014/chart" uri="{C3380CC4-5D6E-409C-BE32-E72D297353CC}">
              <c16:uniqueId val="{00000004-723F-4DA9-A8A0-4A780050B449}"/>
            </c:ext>
          </c:extLst>
        </c:ser>
        <c:dLbls>
          <c:showLegendKey val="0"/>
          <c:showVal val="0"/>
          <c:showCatName val="0"/>
          <c:showSerName val="0"/>
          <c:showPercent val="0"/>
          <c:showBubbleSize val="0"/>
        </c:dLbls>
        <c:gapWidth val="150"/>
        <c:overlap val="100"/>
        <c:axId val="441422272"/>
        <c:axId val="441418008"/>
      </c:barChart>
      <c:catAx>
        <c:axId val="44142227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75000"/>
                        <a:lumOff val="25000"/>
                      </a:schemeClr>
                    </a:solidFill>
                    <a:latin typeface="DIN Pro Bold" panose="020B0804020101020102" pitchFamily="34" charset="0"/>
                    <a:ea typeface="+mn-ea"/>
                    <a:cs typeface="DIN Pro Bold" panose="020B0804020101020102" pitchFamily="34" charset="0"/>
                  </a:defRPr>
                </a:pPr>
                <a:r>
                  <a:rPr lang="fr-FR">
                    <a:solidFill>
                      <a:schemeClr val="tx1">
                        <a:lumMod val="75000"/>
                        <a:lumOff val="25000"/>
                      </a:schemeClr>
                    </a:solidFill>
                    <a:latin typeface="DIN Pro Bold" panose="020B0804020101020102" pitchFamily="34" charset="0"/>
                    <a:cs typeface="DIN Pro Bold" panose="020B0804020101020102" pitchFamily="34" charset="0"/>
                  </a:rPr>
                  <a:t>Année du projet minier</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75000"/>
                      <a:lumOff val="25000"/>
                    </a:schemeClr>
                  </a:solidFill>
                  <a:latin typeface="DIN Pro Bold" panose="020B0804020101020102" pitchFamily="34" charset="0"/>
                  <a:ea typeface="+mn-ea"/>
                  <a:cs typeface="DIN Pro Bold" panose="020B0804020101020102" pitchFamily="34" charset="0"/>
                </a:defRPr>
              </a:pPr>
              <a:endParaRPr lang="fr-FR"/>
            </a:p>
          </c:txPr>
        </c:title>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75000"/>
                    <a:lumOff val="25000"/>
                  </a:schemeClr>
                </a:solidFill>
                <a:latin typeface="DIN Pro Regular" panose="020B0504020101020102" pitchFamily="34" charset="0"/>
                <a:ea typeface="+mn-ea"/>
                <a:cs typeface="DIN Pro Regular" panose="020B0504020101020102" pitchFamily="34" charset="0"/>
              </a:defRPr>
            </a:pPr>
            <a:endParaRPr lang="fr-FR"/>
          </a:p>
        </c:txPr>
        <c:crossAx val="441418008"/>
        <c:crosses val="autoZero"/>
        <c:auto val="1"/>
        <c:lblAlgn val="ctr"/>
        <c:lblOffset val="100"/>
        <c:noMultiLvlLbl val="0"/>
      </c:catAx>
      <c:valAx>
        <c:axId val="44141800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75000"/>
                        <a:lumOff val="25000"/>
                      </a:schemeClr>
                    </a:solidFill>
                    <a:latin typeface="DIN Pro Bold" panose="020B0804020101020102" pitchFamily="34" charset="0"/>
                    <a:ea typeface="+mn-ea"/>
                    <a:cs typeface="DIN Pro Bold" panose="020B0804020101020102" pitchFamily="34" charset="0"/>
                  </a:defRPr>
                </a:pPr>
                <a:r>
                  <a:rPr lang="fr-FR">
                    <a:solidFill>
                      <a:schemeClr val="tx1">
                        <a:lumMod val="75000"/>
                        <a:lumOff val="25000"/>
                      </a:schemeClr>
                    </a:solidFill>
                    <a:latin typeface="DIN Pro Bold" panose="020B0804020101020102" pitchFamily="34" charset="0"/>
                    <a:cs typeface="DIN Pro Bold" panose="020B0804020101020102" pitchFamily="34" charset="0"/>
                  </a:rPr>
                  <a:t>Dollars américains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75000"/>
                      <a:lumOff val="25000"/>
                    </a:schemeClr>
                  </a:solidFill>
                  <a:latin typeface="DIN Pro Bold" panose="020B0804020101020102" pitchFamily="34" charset="0"/>
                  <a:ea typeface="+mn-ea"/>
                  <a:cs typeface="DIN Pro Bold" panose="020B0804020101020102" pitchFamily="34" charset="0"/>
                </a:defRPr>
              </a:pPr>
              <a:endParaRPr lang="fr-FR"/>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75000"/>
                    <a:lumOff val="25000"/>
                  </a:schemeClr>
                </a:solidFill>
                <a:latin typeface="DIN Pro Regular" panose="020B0504020101020102" pitchFamily="34" charset="0"/>
                <a:ea typeface="+mn-ea"/>
                <a:cs typeface="DIN Pro Regular" panose="020B0504020101020102" pitchFamily="34" charset="0"/>
              </a:defRPr>
            </a:pPr>
            <a:endParaRPr lang="fr-FR"/>
          </a:p>
        </c:txPr>
        <c:crossAx val="441422272"/>
        <c:crosses val="autoZero"/>
        <c:crossBetween val="between"/>
      </c:valAx>
      <c:spPr>
        <a:noFill/>
        <a:ln>
          <a:noFill/>
        </a:ln>
        <a:effectLst/>
      </c:spPr>
    </c:plotArea>
    <c:legend>
      <c:legendPos val="b"/>
      <c:legendEntry>
        <c:idx val="0"/>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DIN Pro Regular" panose="020B0504020101020102" pitchFamily="34" charset="0"/>
              <a:ea typeface="+mn-ea"/>
              <a:cs typeface="DIN Pro Regular" panose="020B0504020101020102" pitchFamily="34" charset="0"/>
            </a:defRPr>
          </a:pPr>
          <a:endParaRPr lang="fr-FR"/>
        </a:p>
      </c:txPr>
    </c:legend>
    <c:plotVisOnly val="1"/>
    <c:dispBlanksAs val="gap"/>
    <c:showDLblsOverMax val="0"/>
  </c:chart>
  <c:spPr>
    <a:solidFill>
      <a:schemeClr val="bg1"/>
    </a:solidFill>
    <a:ln w="9525" cap="flat" cmpd="sng" algn="ctr">
      <a:noFill/>
      <a:round/>
    </a:ln>
    <a:effectLst/>
  </c:spPr>
  <c:txPr>
    <a:bodyPr/>
    <a:lstStyle/>
    <a:p>
      <a:pPr>
        <a:defRPr/>
      </a:pPr>
      <a:endParaRPr lang="fr-F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6281768272415729"/>
          <c:y val="7.4561403508771926E-2"/>
          <c:w val="0.70515902761063165"/>
          <c:h val="0.70533706313026656"/>
        </c:manualLayout>
      </c:layout>
      <c:barChart>
        <c:barDir val="col"/>
        <c:grouping val="stacked"/>
        <c:varyColors val="0"/>
        <c:ser>
          <c:idx val="0"/>
          <c:order val="0"/>
          <c:tx>
            <c:strRef>
              <c:f>Graphiques!$A$22</c:f>
              <c:strCache>
                <c:ptCount val="1"/>
                <c:pt idx="0">
                  <c:v>Année</c:v>
                </c:pt>
              </c:strCache>
            </c:strRef>
          </c:tx>
          <c:spPr>
            <a:solidFill>
              <a:schemeClr val="accent1"/>
            </a:solidFill>
            <a:ln>
              <a:noFill/>
            </a:ln>
            <a:effectLst/>
          </c:spPr>
          <c:invertIfNegative val="0"/>
          <c:val>
            <c:numRef>
              <c:f>Graphiques!$A$23:$A$33</c:f>
              <c:numCache>
                <c:formatCode>General</c:formatCode>
                <c:ptCount val="11"/>
                <c:pt idx="0">
                  <c:v>1</c:v>
                </c:pt>
                <c:pt idx="1">
                  <c:v>2</c:v>
                </c:pt>
                <c:pt idx="2">
                  <c:v>3</c:v>
                </c:pt>
                <c:pt idx="3">
                  <c:v>4</c:v>
                </c:pt>
                <c:pt idx="4">
                  <c:v>5</c:v>
                </c:pt>
                <c:pt idx="5">
                  <c:v>6</c:v>
                </c:pt>
                <c:pt idx="6">
                  <c:v>7</c:v>
                </c:pt>
                <c:pt idx="7">
                  <c:v>8</c:v>
                </c:pt>
                <c:pt idx="8">
                  <c:v>9</c:v>
                </c:pt>
                <c:pt idx="9">
                  <c:v>10</c:v>
                </c:pt>
                <c:pt idx="10">
                  <c:v>11</c:v>
                </c:pt>
              </c:numCache>
            </c:numRef>
          </c:val>
          <c:extLst>
            <c:ext xmlns:c16="http://schemas.microsoft.com/office/drawing/2014/chart" uri="{C3380CC4-5D6E-409C-BE32-E72D297353CC}">
              <c16:uniqueId val="{00000000-291C-4C49-BD46-E7FCABE0A3EA}"/>
            </c:ext>
          </c:extLst>
        </c:ser>
        <c:ser>
          <c:idx val="1"/>
          <c:order val="1"/>
          <c:tx>
            <c:strRef>
              <c:f>Graphiques!$B$22</c:f>
              <c:strCache>
                <c:ptCount val="1"/>
                <c:pt idx="0">
                  <c:v>État</c:v>
                </c:pt>
              </c:strCache>
            </c:strRef>
          </c:tx>
          <c:spPr>
            <a:solidFill>
              <a:srgbClr val="D53738"/>
            </a:solidFill>
            <a:ln>
              <a:noFill/>
            </a:ln>
            <a:effectLst/>
          </c:spPr>
          <c:invertIfNegative val="0"/>
          <c:val>
            <c:numRef>
              <c:f>Graphiques!$B$23:$B$33</c:f>
              <c:numCache>
                <c:formatCode>#,##0</c:formatCode>
                <c:ptCount val="11"/>
                <c:pt idx="0">
                  <c:v>112000</c:v>
                </c:pt>
                <c:pt idx="1">
                  <c:v>12000</c:v>
                </c:pt>
                <c:pt idx="2">
                  <c:v>31584080</c:v>
                </c:pt>
                <c:pt idx="3">
                  <c:v>64343760</c:v>
                </c:pt>
                <c:pt idx="4">
                  <c:v>72795280</c:v>
                </c:pt>
                <c:pt idx="5">
                  <c:v>73355920</c:v>
                </c:pt>
                <c:pt idx="6">
                  <c:v>75798160</c:v>
                </c:pt>
                <c:pt idx="7">
                  <c:v>75798160</c:v>
                </c:pt>
                <c:pt idx="8">
                  <c:v>75798160</c:v>
                </c:pt>
                <c:pt idx="9">
                  <c:v>75421840</c:v>
                </c:pt>
                <c:pt idx="10">
                  <c:v>12000</c:v>
                </c:pt>
              </c:numCache>
            </c:numRef>
          </c:val>
          <c:extLst>
            <c:ext xmlns:c16="http://schemas.microsoft.com/office/drawing/2014/chart" uri="{C3380CC4-5D6E-409C-BE32-E72D297353CC}">
              <c16:uniqueId val="{00000001-291C-4C49-BD46-E7FCABE0A3EA}"/>
            </c:ext>
          </c:extLst>
        </c:ser>
        <c:ser>
          <c:idx val="2"/>
          <c:order val="2"/>
          <c:tx>
            <c:strRef>
              <c:f>Graphiques!$C$22</c:f>
              <c:strCache>
                <c:ptCount val="1"/>
                <c:pt idx="0">
                  <c:v>Investisseur</c:v>
                </c:pt>
              </c:strCache>
            </c:strRef>
          </c:tx>
          <c:spPr>
            <a:solidFill>
              <a:srgbClr val="026E8F"/>
            </a:solidFill>
            <a:ln>
              <a:noFill/>
            </a:ln>
            <a:effectLst/>
          </c:spPr>
          <c:invertIfNegative val="0"/>
          <c:val>
            <c:numRef>
              <c:f>Graphiques!$C$23:$C$33</c:f>
              <c:numCache>
                <c:formatCode>#,##0</c:formatCode>
                <c:ptCount val="11"/>
                <c:pt idx="0">
                  <c:v>-50112000</c:v>
                </c:pt>
                <c:pt idx="1">
                  <c:v>-150012000</c:v>
                </c:pt>
                <c:pt idx="2">
                  <c:v>113415920</c:v>
                </c:pt>
                <c:pt idx="3">
                  <c:v>80656240</c:v>
                </c:pt>
                <c:pt idx="4">
                  <c:v>72204720</c:v>
                </c:pt>
                <c:pt idx="5">
                  <c:v>71644080</c:v>
                </c:pt>
                <c:pt idx="6">
                  <c:v>69201840</c:v>
                </c:pt>
                <c:pt idx="7">
                  <c:v>69201840</c:v>
                </c:pt>
                <c:pt idx="8">
                  <c:v>69201840</c:v>
                </c:pt>
                <c:pt idx="9">
                  <c:v>69578160</c:v>
                </c:pt>
                <c:pt idx="10">
                  <c:v>-10012000</c:v>
                </c:pt>
              </c:numCache>
            </c:numRef>
          </c:val>
          <c:extLst>
            <c:ext xmlns:c16="http://schemas.microsoft.com/office/drawing/2014/chart" uri="{C3380CC4-5D6E-409C-BE32-E72D297353CC}">
              <c16:uniqueId val="{00000002-291C-4C49-BD46-E7FCABE0A3EA}"/>
            </c:ext>
          </c:extLst>
        </c:ser>
        <c:dLbls>
          <c:showLegendKey val="0"/>
          <c:showVal val="0"/>
          <c:showCatName val="0"/>
          <c:showSerName val="0"/>
          <c:showPercent val="0"/>
          <c:showBubbleSize val="0"/>
        </c:dLbls>
        <c:gapWidth val="150"/>
        <c:overlap val="100"/>
        <c:axId val="441422272"/>
        <c:axId val="441418008"/>
      </c:barChart>
      <c:catAx>
        <c:axId val="44142227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75000"/>
                        <a:lumOff val="25000"/>
                      </a:schemeClr>
                    </a:solidFill>
                    <a:latin typeface="DIN Pro Bold" panose="020B0804020101020102" pitchFamily="34" charset="0"/>
                    <a:ea typeface="+mn-ea"/>
                    <a:cs typeface="DIN Pro Bold" panose="020B0804020101020102" pitchFamily="34" charset="0"/>
                  </a:defRPr>
                </a:pPr>
                <a:r>
                  <a:rPr lang="fr-FR">
                    <a:solidFill>
                      <a:schemeClr val="tx1">
                        <a:lumMod val="75000"/>
                        <a:lumOff val="25000"/>
                      </a:schemeClr>
                    </a:solidFill>
                    <a:latin typeface="DIN Pro Bold" panose="020B0804020101020102" pitchFamily="34" charset="0"/>
                    <a:cs typeface="DIN Pro Bold" panose="020B0804020101020102" pitchFamily="34" charset="0"/>
                  </a:rPr>
                  <a:t>Année du projet minier</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75000"/>
                      <a:lumOff val="25000"/>
                    </a:schemeClr>
                  </a:solidFill>
                  <a:latin typeface="DIN Pro Bold" panose="020B0804020101020102" pitchFamily="34" charset="0"/>
                  <a:ea typeface="+mn-ea"/>
                  <a:cs typeface="DIN Pro Bold" panose="020B0804020101020102" pitchFamily="34" charset="0"/>
                </a:defRPr>
              </a:pPr>
              <a:endParaRPr lang="fr-FR"/>
            </a:p>
          </c:txPr>
        </c:title>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75000"/>
                    <a:lumOff val="25000"/>
                  </a:schemeClr>
                </a:solidFill>
                <a:latin typeface="DIN Pro Regular" panose="020B0504020101020102" pitchFamily="34" charset="0"/>
                <a:ea typeface="+mn-ea"/>
                <a:cs typeface="DIN Pro Regular" panose="020B0504020101020102" pitchFamily="34" charset="0"/>
              </a:defRPr>
            </a:pPr>
            <a:endParaRPr lang="fr-FR"/>
          </a:p>
        </c:txPr>
        <c:crossAx val="441418008"/>
        <c:crosses val="autoZero"/>
        <c:auto val="1"/>
        <c:lblAlgn val="ctr"/>
        <c:lblOffset val="100"/>
        <c:noMultiLvlLbl val="0"/>
      </c:catAx>
      <c:valAx>
        <c:axId val="441418008"/>
        <c:scaling>
          <c:orientation val="minMax"/>
          <c:max val="150000000"/>
          <c:min val="-1500000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75000"/>
                        <a:lumOff val="25000"/>
                      </a:schemeClr>
                    </a:solidFill>
                    <a:latin typeface="DIN Pro Bold" panose="020B0804020101020102" pitchFamily="34" charset="0"/>
                    <a:ea typeface="+mn-ea"/>
                    <a:cs typeface="DIN Pro Bold" panose="020B0804020101020102" pitchFamily="34" charset="0"/>
                  </a:defRPr>
                </a:pPr>
                <a:r>
                  <a:rPr lang="fr-FR">
                    <a:solidFill>
                      <a:schemeClr val="tx1">
                        <a:lumMod val="75000"/>
                        <a:lumOff val="25000"/>
                      </a:schemeClr>
                    </a:solidFill>
                    <a:latin typeface="DIN Pro Bold" panose="020B0804020101020102" pitchFamily="34" charset="0"/>
                    <a:cs typeface="DIN Pro Bold" panose="020B0804020101020102" pitchFamily="34" charset="0"/>
                  </a:rPr>
                  <a:t>Dollars américains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75000"/>
                      <a:lumOff val="25000"/>
                    </a:schemeClr>
                  </a:solidFill>
                  <a:latin typeface="DIN Pro Bold" panose="020B0804020101020102" pitchFamily="34" charset="0"/>
                  <a:ea typeface="+mn-ea"/>
                  <a:cs typeface="DIN Pro Bold" panose="020B0804020101020102" pitchFamily="34" charset="0"/>
                </a:defRPr>
              </a:pPr>
              <a:endParaRPr lang="fr-FR"/>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75000"/>
                    <a:lumOff val="25000"/>
                  </a:schemeClr>
                </a:solidFill>
                <a:latin typeface="DIN Pro Regular" panose="020B0504020101020102" pitchFamily="34" charset="0"/>
                <a:ea typeface="+mn-ea"/>
                <a:cs typeface="DIN Pro Regular" panose="020B0504020101020102" pitchFamily="34" charset="0"/>
              </a:defRPr>
            </a:pPr>
            <a:endParaRPr lang="fr-FR"/>
          </a:p>
        </c:txPr>
        <c:crossAx val="441422272"/>
        <c:crosses val="autoZero"/>
        <c:crossBetween val="between"/>
      </c:valAx>
      <c:spPr>
        <a:noFill/>
        <a:ln>
          <a:noFill/>
        </a:ln>
        <a:effectLst/>
      </c:spPr>
    </c:plotArea>
    <c:legend>
      <c:legendPos val="b"/>
      <c:legendEntry>
        <c:idx val="0"/>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DIN Pro Regular" panose="020B0504020101020102" pitchFamily="34" charset="0"/>
              <a:ea typeface="+mn-ea"/>
              <a:cs typeface="DIN Pro Regular" panose="020B0504020101020102" pitchFamily="34" charset="0"/>
            </a:defRPr>
          </a:pPr>
          <a:endParaRPr lang="fr-FR"/>
        </a:p>
      </c:txPr>
    </c:legend>
    <c:plotVisOnly val="1"/>
    <c:dispBlanksAs val="gap"/>
    <c:showDLblsOverMax val="0"/>
  </c:chart>
  <c:spPr>
    <a:solidFill>
      <a:schemeClr val="bg1"/>
    </a:solidFill>
    <a:ln w="9525" cap="flat" cmpd="sng" algn="ctr">
      <a:noFill/>
      <a:round/>
    </a:ln>
    <a:effectLst/>
  </c:spPr>
  <c:txPr>
    <a:bodyPr/>
    <a:lstStyle/>
    <a:p>
      <a:pPr>
        <a:defRPr>
          <a:latin typeface="DIN Pro Regular" panose="020B0504020101020102" pitchFamily="34" charset="0"/>
          <a:cs typeface="DIN Pro Regular" panose="020B0504020101020102" pitchFamily="34" charset="0"/>
        </a:defRPr>
      </a:pPr>
      <a:endParaRPr lang="fr-FR"/>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3222634850575938"/>
          <c:y val="6.5789473684210523E-2"/>
          <c:w val="0.73672651629807917"/>
          <c:h val="0.50410346732974165"/>
        </c:manualLayout>
      </c:layout>
      <c:barChart>
        <c:barDir val="col"/>
        <c:grouping val="stacked"/>
        <c:varyColors val="0"/>
        <c:ser>
          <c:idx val="0"/>
          <c:order val="0"/>
          <c:tx>
            <c:strRef>
              <c:f>Graphiques!$A$64</c:f>
              <c:strCache>
                <c:ptCount val="1"/>
                <c:pt idx="0">
                  <c:v>Année</c:v>
                </c:pt>
              </c:strCache>
            </c:strRef>
          </c:tx>
          <c:spPr>
            <a:solidFill>
              <a:schemeClr val="accent1"/>
            </a:solidFill>
            <a:ln>
              <a:noFill/>
            </a:ln>
            <a:effectLst/>
          </c:spPr>
          <c:invertIfNegative val="0"/>
          <c:val>
            <c:numRef>
              <c:f>Graphiques!$A$65:$A$75</c:f>
              <c:numCache>
                <c:formatCode>General</c:formatCode>
                <c:ptCount val="11"/>
                <c:pt idx="0">
                  <c:v>1</c:v>
                </c:pt>
                <c:pt idx="1">
                  <c:v>2</c:v>
                </c:pt>
                <c:pt idx="2">
                  <c:v>3</c:v>
                </c:pt>
                <c:pt idx="3">
                  <c:v>4</c:v>
                </c:pt>
                <c:pt idx="4">
                  <c:v>5</c:v>
                </c:pt>
                <c:pt idx="5">
                  <c:v>6</c:v>
                </c:pt>
                <c:pt idx="6">
                  <c:v>7</c:v>
                </c:pt>
                <c:pt idx="7">
                  <c:v>8</c:v>
                </c:pt>
                <c:pt idx="8">
                  <c:v>9</c:v>
                </c:pt>
                <c:pt idx="9">
                  <c:v>10</c:v>
                </c:pt>
                <c:pt idx="10">
                  <c:v>11</c:v>
                </c:pt>
              </c:numCache>
            </c:numRef>
          </c:val>
          <c:extLst>
            <c:ext xmlns:c16="http://schemas.microsoft.com/office/drawing/2014/chart" uri="{C3380CC4-5D6E-409C-BE32-E72D297353CC}">
              <c16:uniqueId val="{00000000-97B2-47C1-A617-32C951398CC7}"/>
            </c:ext>
          </c:extLst>
        </c:ser>
        <c:ser>
          <c:idx val="1"/>
          <c:order val="1"/>
          <c:tx>
            <c:strRef>
              <c:f>Graphiques!$B$64</c:f>
              <c:strCache>
                <c:ptCount val="1"/>
                <c:pt idx="0">
                  <c:v>Droits fixes</c:v>
                </c:pt>
              </c:strCache>
            </c:strRef>
          </c:tx>
          <c:spPr>
            <a:solidFill>
              <a:srgbClr val="00B0F0"/>
            </a:solidFill>
            <a:ln>
              <a:noFill/>
            </a:ln>
            <a:effectLst/>
          </c:spPr>
          <c:invertIfNegative val="0"/>
          <c:val>
            <c:numRef>
              <c:f>Graphiques!$B$65:$B$75</c:f>
              <c:numCache>
                <c:formatCode>#,##0</c:formatCode>
                <c:ptCount val="11"/>
                <c:pt idx="0">
                  <c:v>100000</c:v>
                </c:pt>
                <c:pt idx="1">
                  <c:v>0</c:v>
                </c:pt>
                <c:pt idx="2">
                  <c:v>0</c:v>
                </c:pt>
                <c:pt idx="3">
                  <c:v>0</c:v>
                </c:pt>
                <c:pt idx="4">
                  <c:v>0</c:v>
                </c:pt>
                <c:pt idx="5">
                  <c:v>0</c:v>
                </c:pt>
                <c:pt idx="6">
                  <c:v>0</c:v>
                </c:pt>
                <c:pt idx="7">
                  <c:v>0</c:v>
                </c:pt>
                <c:pt idx="8">
                  <c:v>0</c:v>
                </c:pt>
                <c:pt idx="9">
                  <c:v>0</c:v>
                </c:pt>
                <c:pt idx="10">
                  <c:v>0</c:v>
                </c:pt>
              </c:numCache>
            </c:numRef>
          </c:val>
          <c:extLst>
            <c:ext xmlns:c16="http://schemas.microsoft.com/office/drawing/2014/chart" uri="{C3380CC4-5D6E-409C-BE32-E72D297353CC}">
              <c16:uniqueId val="{00000001-97B2-47C1-A617-32C951398CC7}"/>
            </c:ext>
          </c:extLst>
        </c:ser>
        <c:ser>
          <c:idx val="2"/>
          <c:order val="2"/>
          <c:tx>
            <c:strRef>
              <c:f>Graphiques!$C$64</c:f>
              <c:strCache>
                <c:ptCount val="1"/>
                <c:pt idx="0">
                  <c:v>Redevance superficiaire</c:v>
                </c:pt>
              </c:strCache>
            </c:strRef>
          </c:tx>
          <c:spPr>
            <a:solidFill>
              <a:srgbClr val="0070C0"/>
            </a:solidFill>
            <a:ln>
              <a:noFill/>
            </a:ln>
            <a:effectLst/>
          </c:spPr>
          <c:invertIfNegative val="0"/>
          <c:val>
            <c:numRef>
              <c:f>Graphiques!$C$65:$C$75</c:f>
              <c:numCache>
                <c:formatCode>#,##0</c:formatCode>
                <c:ptCount val="11"/>
                <c:pt idx="0">
                  <c:v>10000</c:v>
                </c:pt>
                <c:pt idx="1">
                  <c:v>10000</c:v>
                </c:pt>
                <c:pt idx="2">
                  <c:v>10000</c:v>
                </c:pt>
                <c:pt idx="3">
                  <c:v>10000</c:v>
                </c:pt>
                <c:pt idx="4">
                  <c:v>10000</c:v>
                </c:pt>
                <c:pt idx="5">
                  <c:v>10000</c:v>
                </c:pt>
                <c:pt idx="6">
                  <c:v>10000</c:v>
                </c:pt>
                <c:pt idx="7">
                  <c:v>10000</c:v>
                </c:pt>
                <c:pt idx="8">
                  <c:v>10000</c:v>
                </c:pt>
                <c:pt idx="9">
                  <c:v>10000</c:v>
                </c:pt>
                <c:pt idx="10">
                  <c:v>10000</c:v>
                </c:pt>
              </c:numCache>
            </c:numRef>
          </c:val>
          <c:extLst>
            <c:ext xmlns:c16="http://schemas.microsoft.com/office/drawing/2014/chart" uri="{C3380CC4-5D6E-409C-BE32-E72D297353CC}">
              <c16:uniqueId val="{00000002-97B2-47C1-A617-32C951398CC7}"/>
            </c:ext>
          </c:extLst>
        </c:ser>
        <c:ser>
          <c:idx val="3"/>
          <c:order val="3"/>
          <c:tx>
            <c:strRef>
              <c:f>Graphiques!$D$64</c:f>
              <c:strCache>
                <c:ptCount val="1"/>
                <c:pt idx="0">
                  <c:v>Redevance minière</c:v>
                </c:pt>
              </c:strCache>
            </c:strRef>
          </c:tx>
          <c:spPr>
            <a:solidFill>
              <a:srgbClr val="104258"/>
            </a:solidFill>
            <a:ln>
              <a:noFill/>
            </a:ln>
            <a:effectLst/>
          </c:spPr>
          <c:invertIfNegative val="0"/>
          <c:val>
            <c:numRef>
              <c:f>Graphiques!$D$65:$D$75</c:f>
              <c:numCache>
                <c:formatCode>#,##0</c:formatCode>
                <c:ptCount val="11"/>
                <c:pt idx="0">
                  <c:v>0</c:v>
                </c:pt>
                <c:pt idx="1">
                  <c:v>0</c:v>
                </c:pt>
                <c:pt idx="2">
                  <c:v>13000000</c:v>
                </c:pt>
                <c:pt idx="3">
                  <c:v>13000000</c:v>
                </c:pt>
                <c:pt idx="4">
                  <c:v>13000000</c:v>
                </c:pt>
                <c:pt idx="5">
                  <c:v>13000000</c:v>
                </c:pt>
                <c:pt idx="6">
                  <c:v>13000000</c:v>
                </c:pt>
                <c:pt idx="7">
                  <c:v>13000000</c:v>
                </c:pt>
                <c:pt idx="8">
                  <c:v>13000000</c:v>
                </c:pt>
                <c:pt idx="9">
                  <c:v>13000000</c:v>
                </c:pt>
                <c:pt idx="10">
                  <c:v>0</c:v>
                </c:pt>
              </c:numCache>
            </c:numRef>
          </c:val>
          <c:extLst>
            <c:ext xmlns:c16="http://schemas.microsoft.com/office/drawing/2014/chart" uri="{C3380CC4-5D6E-409C-BE32-E72D297353CC}">
              <c16:uniqueId val="{00000003-97B2-47C1-A617-32C951398CC7}"/>
            </c:ext>
          </c:extLst>
        </c:ser>
        <c:ser>
          <c:idx val="4"/>
          <c:order val="4"/>
          <c:tx>
            <c:strRef>
              <c:f>Graphiques!$E$64</c:f>
              <c:strCache>
                <c:ptCount val="1"/>
                <c:pt idx="0">
                  <c:v>Taxe sur la rente</c:v>
                </c:pt>
              </c:strCache>
            </c:strRef>
          </c:tx>
          <c:spPr>
            <a:solidFill>
              <a:srgbClr val="026E8F"/>
            </a:solidFill>
            <a:ln>
              <a:noFill/>
            </a:ln>
            <a:effectLst/>
          </c:spPr>
          <c:invertIfNegative val="0"/>
          <c:val>
            <c:numRef>
              <c:f>Graphiques!$E$65:$E$75</c:f>
              <c:numCache>
                <c:formatCode>#,##0</c:formatCode>
                <c:ptCount val="11"/>
                <c:pt idx="0">
                  <c:v>0</c:v>
                </c:pt>
                <c:pt idx="1">
                  <c:v>0</c:v>
                </c:pt>
                <c:pt idx="2">
                  <c:v>0</c:v>
                </c:pt>
                <c:pt idx="3">
                  <c:v>17200000</c:v>
                </c:pt>
                <c:pt idx="4">
                  <c:v>29000000</c:v>
                </c:pt>
                <c:pt idx="5">
                  <c:v>29000000</c:v>
                </c:pt>
                <c:pt idx="6">
                  <c:v>29000000</c:v>
                </c:pt>
                <c:pt idx="7">
                  <c:v>29000000</c:v>
                </c:pt>
                <c:pt idx="8">
                  <c:v>29000000</c:v>
                </c:pt>
                <c:pt idx="9">
                  <c:v>29000000</c:v>
                </c:pt>
                <c:pt idx="10">
                  <c:v>0</c:v>
                </c:pt>
              </c:numCache>
            </c:numRef>
          </c:val>
          <c:extLst>
            <c:ext xmlns:c16="http://schemas.microsoft.com/office/drawing/2014/chart" uri="{C3380CC4-5D6E-409C-BE32-E72D297353CC}">
              <c16:uniqueId val="{00000004-97B2-47C1-A617-32C951398CC7}"/>
            </c:ext>
          </c:extLst>
        </c:ser>
        <c:ser>
          <c:idx val="5"/>
          <c:order val="5"/>
          <c:tx>
            <c:strRef>
              <c:f>Graphiques!$F$64</c:f>
              <c:strCache>
                <c:ptCount val="1"/>
                <c:pt idx="0">
                  <c:v>IS et IMF</c:v>
                </c:pt>
              </c:strCache>
            </c:strRef>
          </c:tx>
          <c:spPr>
            <a:solidFill>
              <a:srgbClr val="E3A728"/>
            </a:solidFill>
            <a:ln>
              <a:noFill/>
            </a:ln>
            <a:effectLst/>
          </c:spPr>
          <c:invertIfNegative val="0"/>
          <c:val>
            <c:numRef>
              <c:f>Graphiques!$F$65:$F$75</c:f>
              <c:numCache>
                <c:formatCode>#,##0</c:formatCode>
                <c:ptCount val="11"/>
                <c:pt idx="0">
                  <c:v>2000</c:v>
                </c:pt>
                <c:pt idx="1">
                  <c:v>2000</c:v>
                </c:pt>
                <c:pt idx="2">
                  <c:v>14511000</c:v>
                </c:pt>
                <c:pt idx="3">
                  <c:v>26667000</c:v>
                </c:pt>
                <c:pt idx="4">
                  <c:v>24051000</c:v>
                </c:pt>
                <c:pt idx="5">
                  <c:v>24489000</c:v>
                </c:pt>
                <c:pt idx="6">
                  <c:v>26397000</c:v>
                </c:pt>
                <c:pt idx="7">
                  <c:v>26397000</c:v>
                </c:pt>
                <c:pt idx="8">
                  <c:v>26397000</c:v>
                </c:pt>
                <c:pt idx="9">
                  <c:v>26103000</c:v>
                </c:pt>
                <c:pt idx="10">
                  <c:v>2000</c:v>
                </c:pt>
              </c:numCache>
            </c:numRef>
          </c:val>
          <c:extLst>
            <c:ext xmlns:c16="http://schemas.microsoft.com/office/drawing/2014/chart" uri="{C3380CC4-5D6E-409C-BE32-E72D297353CC}">
              <c16:uniqueId val="{00000005-97B2-47C1-A617-32C951398CC7}"/>
            </c:ext>
          </c:extLst>
        </c:ser>
        <c:ser>
          <c:idx val="6"/>
          <c:order val="6"/>
          <c:tx>
            <c:strRef>
              <c:f>Graphiques!$G$64</c:f>
              <c:strCache>
                <c:ptCount val="1"/>
                <c:pt idx="0">
                  <c:v>Participation de l'Etat</c:v>
                </c:pt>
              </c:strCache>
            </c:strRef>
          </c:tx>
          <c:spPr>
            <a:solidFill>
              <a:srgbClr val="D53738"/>
            </a:solidFill>
            <a:ln>
              <a:noFill/>
            </a:ln>
            <a:effectLst/>
          </c:spPr>
          <c:invertIfNegative val="0"/>
          <c:val>
            <c:numRef>
              <c:f>Graphiques!$G$65:$G$75</c:f>
              <c:numCache>
                <c:formatCode>#,##0</c:formatCode>
                <c:ptCount val="11"/>
                <c:pt idx="0">
                  <c:v>0</c:v>
                </c:pt>
                <c:pt idx="1">
                  <c:v>0</c:v>
                </c:pt>
                <c:pt idx="2">
                  <c:v>3385900</c:v>
                </c:pt>
                <c:pt idx="3">
                  <c:v>6222300</c:v>
                </c:pt>
                <c:pt idx="4">
                  <c:v>5611900</c:v>
                </c:pt>
                <c:pt idx="5">
                  <c:v>5714100</c:v>
                </c:pt>
                <c:pt idx="6">
                  <c:v>6159300</c:v>
                </c:pt>
                <c:pt idx="7">
                  <c:v>6159300</c:v>
                </c:pt>
                <c:pt idx="8">
                  <c:v>6159300</c:v>
                </c:pt>
                <c:pt idx="9">
                  <c:v>6090700</c:v>
                </c:pt>
                <c:pt idx="10">
                  <c:v>0</c:v>
                </c:pt>
              </c:numCache>
            </c:numRef>
          </c:val>
          <c:extLst>
            <c:ext xmlns:c16="http://schemas.microsoft.com/office/drawing/2014/chart" uri="{C3380CC4-5D6E-409C-BE32-E72D297353CC}">
              <c16:uniqueId val="{00000006-97B2-47C1-A617-32C951398CC7}"/>
            </c:ext>
          </c:extLst>
        </c:ser>
        <c:ser>
          <c:idx val="7"/>
          <c:order val="7"/>
          <c:tx>
            <c:strRef>
              <c:f>Graphiques!$H$64</c:f>
              <c:strCache>
                <c:ptCount val="1"/>
                <c:pt idx="0">
                  <c:v>IRVM</c:v>
                </c:pt>
              </c:strCache>
            </c:strRef>
          </c:tx>
          <c:spPr>
            <a:solidFill>
              <a:srgbClr val="A63535"/>
            </a:solidFill>
            <a:ln>
              <a:noFill/>
            </a:ln>
            <a:effectLst/>
          </c:spPr>
          <c:invertIfNegative val="0"/>
          <c:val>
            <c:numRef>
              <c:f>Graphiques!$H$65:$H$75</c:f>
              <c:numCache>
                <c:formatCode>#,##0</c:formatCode>
                <c:ptCount val="11"/>
                <c:pt idx="0">
                  <c:v>0</c:v>
                </c:pt>
                <c:pt idx="1">
                  <c:v>0</c:v>
                </c:pt>
                <c:pt idx="2">
                  <c:v>677180</c:v>
                </c:pt>
                <c:pt idx="3">
                  <c:v>1244460</c:v>
                </c:pt>
                <c:pt idx="4">
                  <c:v>1122380</c:v>
                </c:pt>
                <c:pt idx="5">
                  <c:v>1142820</c:v>
                </c:pt>
                <c:pt idx="6">
                  <c:v>1231860</c:v>
                </c:pt>
                <c:pt idx="7">
                  <c:v>1231860</c:v>
                </c:pt>
                <c:pt idx="8">
                  <c:v>1231860</c:v>
                </c:pt>
                <c:pt idx="9">
                  <c:v>1218140</c:v>
                </c:pt>
                <c:pt idx="10">
                  <c:v>0</c:v>
                </c:pt>
              </c:numCache>
            </c:numRef>
          </c:val>
          <c:extLst>
            <c:ext xmlns:c16="http://schemas.microsoft.com/office/drawing/2014/chart" uri="{C3380CC4-5D6E-409C-BE32-E72D297353CC}">
              <c16:uniqueId val="{00000007-97B2-47C1-A617-32C951398CC7}"/>
            </c:ext>
          </c:extLst>
        </c:ser>
        <c:dLbls>
          <c:showLegendKey val="0"/>
          <c:showVal val="0"/>
          <c:showCatName val="0"/>
          <c:showSerName val="0"/>
          <c:showPercent val="0"/>
          <c:showBubbleSize val="0"/>
        </c:dLbls>
        <c:gapWidth val="150"/>
        <c:overlap val="100"/>
        <c:axId val="441422272"/>
        <c:axId val="441418008"/>
      </c:barChart>
      <c:catAx>
        <c:axId val="44142227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75000"/>
                        <a:lumOff val="25000"/>
                      </a:schemeClr>
                    </a:solidFill>
                    <a:latin typeface="DIN Pro Bold" panose="020B0804020101020102" pitchFamily="34" charset="0"/>
                    <a:ea typeface="+mn-ea"/>
                    <a:cs typeface="DIN Pro Bold" panose="020B0804020101020102" pitchFamily="34" charset="0"/>
                  </a:defRPr>
                </a:pPr>
                <a:r>
                  <a:rPr lang="fr-FR">
                    <a:solidFill>
                      <a:schemeClr val="tx1">
                        <a:lumMod val="75000"/>
                        <a:lumOff val="25000"/>
                      </a:schemeClr>
                    </a:solidFill>
                    <a:latin typeface="DIN Pro Bold" panose="020B0804020101020102" pitchFamily="34" charset="0"/>
                    <a:cs typeface="DIN Pro Bold" panose="020B0804020101020102" pitchFamily="34" charset="0"/>
                  </a:rPr>
                  <a:t>Année du projet minier</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75000"/>
                      <a:lumOff val="25000"/>
                    </a:schemeClr>
                  </a:solidFill>
                  <a:latin typeface="DIN Pro Bold" panose="020B0804020101020102" pitchFamily="34" charset="0"/>
                  <a:ea typeface="+mn-ea"/>
                  <a:cs typeface="DIN Pro Bold" panose="020B0804020101020102" pitchFamily="34" charset="0"/>
                </a:defRPr>
              </a:pPr>
              <a:endParaRPr lang="fr-FR"/>
            </a:p>
          </c:txPr>
        </c:title>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DIN Pro Regular" panose="020B0504020101020102" pitchFamily="34" charset="0"/>
                <a:ea typeface="+mn-ea"/>
                <a:cs typeface="DIN Pro Regular" panose="020B0504020101020102" pitchFamily="34" charset="0"/>
              </a:defRPr>
            </a:pPr>
            <a:endParaRPr lang="fr-FR"/>
          </a:p>
        </c:txPr>
        <c:crossAx val="441418008"/>
        <c:crosses val="autoZero"/>
        <c:auto val="1"/>
        <c:lblAlgn val="ctr"/>
        <c:lblOffset val="100"/>
        <c:noMultiLvlLbl val="0"/>
      </c:catAx>
      <c:valAx>
        <c:axId val="44141800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75000"/>
                        <a:lumOff val="25000"/>
                      </a:schemeClr>
                    </a:solidFill>
                    <a:latin typeface="DIN Pro Bold" panose="020B0804020101020102" pitchFamily="34" charset="0"/>
                    <a:ea typeface="+mn-ea"/>
                    <a:cs typeface="DIN Pro Bold" panose="020B0804020101020102" pitchFamily="34" charset="0"/>
                  </a:defRPr>
                </a:pPr>
                <a:r>
                  <a:rPr lang="fr-FR">
                    <a:solidFill>
                      <a:schemeClr val="tx1">
                        <a:lumMod val="75000"/>
                        <a:lumOff val="25000"/>
                      </a:schemeClr>
                    </a:solidFill>
                    <a:latin typeface="DIN Pro Bold" panose="020B0804020101020102" pitchFamily="34" charset="0"/>
                    <a:cs typeface="DIN Pro Bold" panose="020B0804020101020102" pitchFamily="34" charset="0"/>
                  </a:rPr>
                  <a:t>Dollars américains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75000"/>
                      <a:lumOff val="25000"/>
                    </a:schemeClr>
                  </a:solidFill>
                  <a:latin typeface="DIN Pro Bold" panose="020B0804020101020102" pitchFamily="34" charset="0"/>
                  <a:ea typeface="+mn-ea"/>
                  <a:cs typeface="DIN Pro Bold" panose="020B0804020101020102" pitchFamily="34" charset="0"/>
                </a:defRPr>
              </a:pPr>
              <a:endParaRPr lang="fr-FR"/>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75000"/>
                    <a:lumOff val="25000"/>
                  </a:schemeClr>
                </a:solidFill>
                <a:latin typeface="DIN Pro Regular" panose="020B0504020101020102" pitchFamily="34" charset="0"/>
                <a:ea typeface="+mn-ea"/>
                <a:cs typeface="DIN Pro Regular" panose="020B0504020101020102" pitchFamily="34" charset="0"/>
              </a:defRPr>
            </a:pPr>
            <a:endParaRPr lang="fr-FR"/>
          </a:p>
        </c:txPr>
        <c:crossAx val="441422272"/>
        <c:crosses val="autoZero"/>
        <c:crossBetween val="between"/>
      </c:valAx>
      <c:spPr>
        <a:noFill/>
        <a:ln>
          <a:noFill/>
        </a:ln>
        <a:effectLst/>
      </c:spPr>
    </c:plotArea>
    <c:legend>
      <c:legendPos val="b"/>
      <c:legendEntry>
        <c:idx val="0"/>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DIN Pro Regular" panose="020B0504020101020102" pitchFamily="34" charset="0"/>
              <a:ea typeface="+mn-ea"/>
              <a:cs typeface="DIN Pro Regular" panose="020B0504020101020102" pitchFamily="34" charset="0"/>
            </a:defRPr>
          </a:pPr>
          <a:endParaRPr lang="fr-FR"/>
        </a:p>
      </c:txPr>
    </c:legend>
    <c:plotVisOnly val="1"/>
    <c:dispBlanksAs val="gap"/>
    <c:showDLblsOverMax val="0"/>
  </c:chart>
  <c:spPr>
    <a:solidFill>
      <a:schemeClr val="bg1"/>
    </a:solidFill>
    <a:ln w="9525" cap="flat" cmpd="sng" algn="ctr">
      <a:noFill/>
      <a:round/>
    </a:ln>
    <a:effectLst/>
  </c:spPr>
  <c:txPr>
    <a:bodyPr/>
    <a:lstStyle/>
    <a:p>
      <a:pPr>
        <a:defRPr>
          <a:latin typeface="DIN Pro Regular" panose="020B0504020101020102" pitchFamily="34" charset="0"/>
          <a:cs typeface="DIN Pro Regular" panose="020B0504020101020102" pitchFamily="34" charset="0"/>
        </a:defRPr>
      </a:pPr>
      <a:endParaRPr lang="fr-FR"/>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dPt>
            <c:idx val="0"/>
            <c:bubble3D val="0"/>
            <c:spPr>
              <a:solidFill>
                <a:srgbClr val="D53738"/>
              </a:solidFill>
              <a:ln>
                <a:noFill/>
              </a:ln>
              <a:effectLst/>
            </c:spPr>
            <c:extLst>
              <c:ext xmlns:c16="http://schemas.microsoft.com/office/drawing/2014/chart" uri="{C3380CC4-5D6E-409C-BE32-E72D297353CC}">
                <c16:uniqueId val="{00000001-5E45-45F2-BCB6-99CA196EDA04}"/>
              </c:ext>
            </c:extLst>
          </c:dPt>
          <c:dPt>
            <c:idx val="1"/>
            <c:bubble3D val="0"/>
            <c:spPr>
              <a:solidFill>
                <a:srgbClr val="026E8F"/>
              </a:solidFill>
              <a:ln>
                <a:noFill/>
              </a:ln>
              <a:effectLst/>
            </c:spPr>
            <c:extLst>
              <c:ext xmlns:c16="http://schemas.microsoft.com/office/drawing/2014/chart" uri="{C3380CC4-5D6E-409C-BE32-E72D297353CC}">
                <c16:uniqueId val="{00000003-5E45-45F2-BCB6-99CA196EDA04}"/>
              </c:ext>
            </c:extLst>
          </c:dPt>
          <c:dPt>
            <c:idx val="2"/>
            <c:bubble3D val="0"/>
            <c:spPr>
              <a:solidFill>
                <a:srgbClr val="104258"/>
              </a:solidFill>
              <a:ln>
                <a:noFill/>
              </a:ln>
              <a:effectLst/>
            </c:spPr>
            <c:extLst>
              <c:ext xmlns:c16="http://schemas.microsoft.com/office/drawing/2014/chart" uri="{C3380CC4-5D6E-409C-BE32-E72D297353CC}">
                <c16:uniqueId val="{00000005-5E45-45F2-BCB6-99CA196EDA04}"/>
              </c:ext>
            </c:extLst>
          </c:dPt>
          <c:dPt>
            <c:idx val="3"/>
            <c:bubble3D val="0"/>
            <c:spPr>
              <a:solidFill>
                <a:srgbClr val="026E8F"/>
              </a:solidFill>
              <a:ln>
                <a:noFill/>
              </a:ln>
              <a:effectLst/>
            </c:spPr>
            <c:extLst>
              <c:ext xmlns:c16="http://schemas.microsoft.com/office/drawing/2014/chart" uri="{C3380CC4-5D6E-409C-BE32-E72D297353CC}">
                <c16:uniqueId val="{00000007-5E45-45F2-BCB6-99CA196EDA04}"/>
              </c:ext>
            </c:extLst>
          </c:dPt>
          <c:dPt>
            <c:idx val="4"/>
            <c:bubble3D val="0"/>
            <c:spPr>
              <a:solidFill>
                <a:srgbClr val="E3A728"/>
              </a:solidFill>
              <a:ln>
                <a:noFill/>
              </a:ln>
              <a:effectLst/>
            </c:spPr>
            <c:extLst>
              <c:ext xmlns:c16="http://schemas.microsoft.com/office/drawing/2014/chart" uri="{C3380CC4-5D6E-409C-BE32-E72D297353CC}">
                <c16:uniqueId val="{00000009-5E45-45F2-BCB6-99CA196EDA04}"/>
              </c:ext>
            </c:extLst>
          </c:dPt>
          <c:dPt>
            <c:idx val="5"/>
            <c:bubble3D val="0"/>
            <c:spPr>
              <a:solidFill>
                <a:srgbClr val="D53738"/>
              </a:solidFill>
              <a:ln>
                <a:noFill/>
              </a:ln>
              <a:effectLst/>
            </c:spPr>
            <c:extLst>
              <c:ext xmlns:c16="http://schemas.microsoft.com/office/drawing/2014/chart" uri="{C3380CC4-5D6E-409C-BE32-E72D297353CC}">
                <c16:uniqueId val="{0000000B-5E45-45F2-BCB6-99CA196EDA04}"/>
              </c:ext>
            </c:extLst>
          </c:dPt>
          <c:dPt>
            <c:idx val="6"/>
            <c:bubble3D val="0"/>
            <c:spPr>
              <a:solidFill>
                <a:srgbClr val="A63535"/>
              </a:solidFill>
              <a:ln>
                <a:noFill/>
              </a:ln>
              <a:effectLst/>
            </c:spPr>
            <c:extLst>
              <c:ext xmlns:c16="http://schemas.microsoft.com/office/drawing/2014/chart" uri="{C3380CC4-5D6E-409C-BE32-E72D297353CC}">
                <c16:uniqueId val="{0000000D-5E45-45F2-BCB6-99CA196EDA04}"/>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DIN Pro Regular" panose="020B0504020101020102" pitchFamily="34" charset="0"/>
                    <a:ea typeface="DIN Condensed" panose="020B0606040000020204" pitchFamily="34" charset="0"/>
                    <a:cs typeface="DIN Pro Regular" panose="020B0504020101020102" pitchFamily="34" charset="0"/>
                  </a:defRPr>
                </a:pPr>
                <a:endParaRPr lang="fr-FR"/>
              </a:p>
            </c:txPr>
            <c:dLblPos val="outEnd"/>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Graphiques!$B$2:$C$2</c:f>
              <c:strCache>
                <c:ptCount val="2"/>
                <c:pt idx="0">
                  <c:v>État</c:v>
                </c:pt>
                <c:pt idx="1">
                  <c:v>Investisseur</c:v>
                </c:pt>
              </c:strCache>
            </c:strRef>
          </c:cat>
          <c:val>
            <c:numRef>
              <c:f>Graphiques!$B$3:$C$3</c:f>
              <c:numCache>
                <c:formatCode>0.0%</c:formatCode>
                <c:ptCount val="2"/>
                <c:pt idx="0">
                  <c:v>0.62155337769153907</c:v>
                </c:pt>
                <c:pt idx="1">
                  <c:v>0.37844662230846082</c:v>
                </c:pt>
              </c:numCache>
            </c:numRef>
          </c:val>
          <c:extLst>
            <c:ext xmlns:c16="http://schemas.microsoft.com/office/drawing/2014/chart" uri="{C3380CC4-5D6E-409C-BE32-E72D297353CC}">
              <c16:uniqueId val="{0000000E-5E45-45F2-BCB6-99CA196EDA04}"/>
            </c:ext>
          </c:extLst>
        </c:ser>
        <c:dLbls>
          <c:showLegendKey val="0"/>
          <c:showVal val="0"/>
          <c:showCatName val="0"/>
          <c:showSerName val="0"/>
          <c:showPercent val="0"/>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DIN Pro Regular" panose="020B0504020101020102" pitchFamily="34" charset="0"/>
              <a:ea typeface="DIN Condensed" panose="020B0606040000020204" pitchFamily="34" charset="0"/>
              <a:cs typeface="DIN Pro Regular" panose="020B0504020101020102" pitchFamily="34" charset="0"/>
            </a:defRPr>
          </a:pPr>
          <a:endParaRPr lang="fr-FR"/>
        </a:p>
      </c:txPr>
    </c:legend>
    <c:plotVisOnly val="1"/>
    <c:dispBlanksAs val="gap"/>
    <c:showDLblsOverMax val="0"/>
  </c:chart>
  <c:spPr>
    <a:solidFill>
      <a:schemeClr val="bg1"/>
    </a:solidFill>
    <a:ln w="9525" cap="flat" cmpd="sng" algn="ctr">
      <a:noFill/>
      <a:round/>
    </a:ln>
    <a:effectLst/>
  </c:spPr>
  <c:txPr>
    <a:bodyPr/>
    <a:lstStyle/>
    <a:p>
      <a:pPr>
        <a:defRPr/>
      </a:pPr>
      <a:endParaRPr lang="fr-FR"/>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dPt>
            <c:idx val="0"/>
            <c:bubble3D val="0"/>
            <c:spPr>
              <a:solidFill>
                <a:srgbClr val="00B0F0"/>
              </a:solidFill>
              <a:ln>
                <a:noFill/>
              </a:ln>
              <a:effectLst/>
            </c:spPr>
            <c:extLst>
              <c:ext xmlns:c16="http://schemas.microsoft.com/office/drawing/2014/chart" uri="{C3380CC4-5D6E-409C-BE32-E72D297353CC}">
                <c16:uniqueId val="{00000001-B22F-427E-BE20-D8385E7EB96B}"/>
              </c:ext>
            </c:extLst>
          </c:dPt>
          <c:dPt>
            <c:idx val="1"/>
            <c:bubble3D val="0"/>
            <c:spPr>
              <a:solidFill>
                <a:srgbClr val="0070C0"/>
              </a:solidFill>
              <a:ln>
                <a:noFill/>
              </a:ln>
              <a:effectLst/>
            </c:spPr>
            <c:extLst>
              <c:ext xmlns:c16="http://schemas.microsoft.com/office/drawing/2014/chart" uri="{C3380CC4-5D6E-409C-BE32-E72D297353CC}">
                <c16:uniqueId val="{00000003-B22F-427E-BE20-D8385E7EB96B}"/>
              </c:ext>
            </c:extLst>
          </c:dPt>
          <c:dPt>
            <c:idx val="2"/>
            <c:bubble3D val="0"/>
            <c:spPr>
              <a:solidFill>
                <a:srgbClr val="104258"/>
              </a:solidFill>
              <a:ln>
                <a:noFill/>
              </a:ln>
              <a:effectLst/>
            </c:spPr>
            <c:extLst>
              <c:ext xmlns:c16="http://schemas.microsoft.com/office/drawing/2014/chart" uri="{C3380CC4-5D6E-409C-BE32-E72D297353CC}">
                <c16:uniqueId val="{00000005-B22F-427E-BE20-D8385E7EB96B}"/>
              </c:ext>
            </c:extLst>
          </c:dPt>
          <c:dPt>
            <c:idx val="3"/>
            <c:bubble3D val="0"/>
            <c:spPr>
              <a:solidFill>
                <a:srgbClr val="026E8F"/>
              </a:solidFill>
              <a:ln>
                <a:noFill/>
              </a:ln>
              <a:effectLst/>
            </c:spPr>
            <c:extLst>
              <c:ext xmlns:c16="http://schemas.microsoft.com/office/drawing/2014/chart" uri="{C3380CC4-5D6E-409C-BE32-E72D297353CC}">
                <c16:uniqueId val="{00000007-B22F-427E-BE20-D8385E7EB96B}"/>
              </c:ext>
            </c:extLst>
          </c:dPt>
          <c:dPt>
            <c:idx val="4"/>
            <c:bubble3D val="0"/>
            <c:spPr>
              <a:solidFill>
                <a:srgbClr val="E3A728"/>
              </a:solidFill>
              <a:ln>
                <a:noFill/>
              </a:ln>
              <a:effectLst/>
            </c:spPr>
            <c:extLst>
              <c:ext xmlns:c16="http://schemas.microsoft.com/office/drawing/2014/chart" uri="{C3380CC4-5D6E-409C-BE32-E72D297353CC}">
                <c16:uniqueId val="{00000009-B22F-427E-BE20-D8385E7EB96B}"/>
              </c:ext>
            </c:extLst>
          </c:dPt>
          <c:dPt>
            <c:idx val="5"/>
            <c:bubble3D val="0"/>
            <c:spPr>
              <a:solidFill>
                <a:srgbClr val="D53738"/>
              </a:solidFill>
              <a:ln>
                <a:noFill/>
              </a:ln>
              <a:effectLst/>
            </c:spPr>
            <c:extLst>
              <c:ext xmlns:c16="http://schemas.microsoft.com/office/drawing/2014/chart" uri="{C3380CC4-5D6E-409C-BE32-E72D297353CC}">
                <c16:uniqueId val="{0000000B-B22F-427E-BE20-D8385E7EB96B}"/>
              </c:ext>
            </c:extLst>
          </c:dPt>
          <c:dPt>
            <c:idx val="6"/>
            <c:bubble3D val="0"/>
            <c:spPr>
              <a:solidFill>
                <a:srgbClr val="A63535"/>
              </a:solidFill>
              <a:ln>
                <a:noFill/>
              </a:ln>
              <a:effectLst/>
            </c:spPr>
            <c:extLst>
              <c:ext xmlns:c16="http://schemas.microsoft.com/office/drawing/2014/chart" uri="{C3380CC4-5D6E-409C-BE32-E72D297353CC}">
                <c16:uniqueId val="{0000000D-B22F-427E-BE20-D8385E7EB96B}"/>
              </c:ext>
            </c:extLst>
          </c:dPt>
          <c:dLbls>
            <c:dLbl>
              <c:idx val="0"/>
              <c:delete val="1"/>
              <c:extLst>
                <c:ext xmlns:c15="http://schemas.microsoft.com/office/drawing/2012/chart" uri="{CE6537A1-D6FC-4f65-9D91-7224C49458BB}"/>
                <c:ext xmlns:c16="http://schemas.microsoft.com/office/drawing/2014/chart" uri="{C3380CC4-5D6E-409C-BE32-E72D297353CC}">
                  <c16:uniqueId val="{00000001-B22F-427E-BE20-D8385E7EB96B}"/>
                </c:ext>
              </c:extLst>
            </c:dLbl>
            <c:dLbl>
              <c:idx val="1"/>
              <c:delete val="1"/>
              <c:extLst>
                <c:ext xmlns:c15="http://schemas.microsoft.com/office/drawing/2012/chart" uri="{CE6537A1-D6FC-4f65-9D91-7224C49458BB}"/>
                <c:ext xmlns:c16="http://schemas.microsoft.com/office/drawing/2014/chart" uri="{C3380CC4-5D6E-409C-BE32-E72D297353CC}">
                  <c16:uniqueId val="{00000003-B22F-427E-BE20-D8385E7EB96B}"/>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DIN Pro Regular" panose="020B0504020101020102" pitchFamily="34" charset="0"/>
                    <a:ea typeface="+mn-ea"/>
                    <a:cs typeface="DIN Pro Regular" panose="020B0504020101020102" pitchFamily="34" charset="0"/>
                  </a:defRPr>
                </a:pPr>
                <a:endParaRPr lang="fr-FR"/>
              </a:p>
            </c:txPr>
            <c:dLblPos val="out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Graphiques!$B$87:$H$87</c:f>
              <c:strCache>
                <c:ptCount val="7"/>
                <c:pt idx="0">
                  <c:v>Droits fixes</c:v>
                </c:pt>
                <c:pt idx="1">
                  <c:v>Redevance superficiaire</c:v>
                </c:pt>
                <c:pt idx="2">
                  <c:v>Redevance minière</c:v>
                </c:pt>
                <c:pt idx="3">
                  <c:v>Taxe sur la rente</c:v>
                </c:pt>
                <c:pt idx="4">
                  <c:v>IS et IMF</c:v>
                </c:pt>
                <c:pt idx="5">
                  <c:v>Participation de l'Etat</c:v>
                </c:pt>
                <c:pt idx="6">
                  <c:v>IRVM</c:v>
                </c:pt>
              </c:strCache>
            </c:strRef>
          </c:cat>
          <c:val>
            <c:numRef>
              <c:f>Graphiques!$B$88:$H$88</c:f>
              <c:numCache>
                <c:formatCode>#,##0</c:formatCode>
                <c:ptCount val="7"/>
                <c:pt idx="0">
                  <c:v>100000</c:v>
                </c:pt>
                <c:pt idx="1">
                  <c:v>71445.671057046799</c:v>
                </c:pt>
                <c:pt idx="2">
                  <c:v>63049127.793395109</c:v>
                </c:pt>
                <c:pt idx="3">
                  <c:v>107815597.508944</c:v>
                </c:pt>
                <c:pt idx="4">
                  <c:v>115496230.56923024</c:v>
                </c:pt>
                <c:pt idx="5">
                  <c:v>26948049.636861078</c:v>
                </c:pt>
                <c:pt idx="6">
                  <c:v>5389609.9273722153</c:v>
                </c:pt>
              </c:numCache>
            </c:numRef>
          </c:val>
          <c:extLst>
            <c:ext xmlns:c16="http://schemas.microsoft.com/office/drawing/2014/chart" uri="{C3380CC4-5D6E-409C-BE32-E72D297353CC}">
              <c16:uniqueId val="{0000000E-B22F-427E-BE20-D8385E7EB96B}"/>
            </c:ext>
          </c:extLst>
        </c:ser>
        <c:dLbls>
          <c:showLegendKey val="0"/>
          <c:showVal val="0"/>
          <c:showCatName val="0"/>
          <c:showSerName val="0"/>
          <c:showPercent val="0"/>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rtl="0">
            <a:defRPr sz="900" b="0" i="0" u="none" strike="noStrike" kern="1200" baseline="0">
              <a:solidFill>
                <a:schemeClr val="tx1">
                  <a:lumMod val="75000"/>
                  <a:lumOff val="25000"/>
                </a:schemeClr>
              </a:solidFill>
              <a:latin typeface="DIN Pro Regular" panose="020B0504020101020102" pitchFamily="34" charset="0"/>
              <a:ea typeface="+mn-ea"/>
              <a:cs typeface="DIN Pro Regular" panose="020B0504020101020102" pitchFamily="34" charset="0"/>
            </a:defRPr>
          </a:pPr>
          <a:endParaRPr lang="fr-FR"/>
        </a:p>
      </c:txPr>
    </c:legend>
    <c:plotVisOnly val="1"/>
    <c:dispBlanksAs val="gap"/>
    <c:showDLblsOverMax val="0"/>
  </c:chart>
  <c:spPr>
    <a:solidFill>
      <a:schemeClr val="bg1"/>
    </a:solidFill>
    <a:ln w="9525" cap="flat" cmpd="sng" algn="ctr">
      <a:noFill/>
      <a:round/>
    </a:ln>
    <a:effectLst/>
  </c:spPr>
  <c:txPr>
    <a:bodyPr/>
    <a:lstStyle/>
    <a:p>
      <a:pPr>
        <a:defRPr/>
      </a:pPr>
      <a:endParaRPr lang="fr-FR"/>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1"/>
          <c:order val="0"/>
          <c:tx>
            <c:strRef>
              <c:f>Graphiques!$B$44</c:f>
              <c:strCache>
                <c:ptCount val="1"/>
                <c:pt idx="0">
                  <c:v>TRI avant impôts</c:v>
                </c:pt>
              </c:strCache>
            </c:strRef>
          </c:tx>
          <c:spPr>
            <a:ln w="28575" cap="rnd">
              <a:solidFill>
                <a:schemeClr val="accent1"/>
              </a:solidFill>
              <a:round/>
            </a:ln>
            <a:effectLst/>
          </c:spPr>
          <c:marker>
            <c:symbol val="none"/>
          </c:marker>
          <c:dLbls>
            <c:dLbl>
              <c:idx val="0"/>
              <c:delete val="1"/>
              <c:extLst>
                <c:ext xmlns:c15="http://schemas.microsoft.com/office/drawing/2012/chart" uri="{CE6537A1-D6FC-4f65-9D91-7224C49458BB}"/>
                <c:ext xmlns:c16="http://schemas.microsoft.com/office/drawing/2014/chart" uri="{C3380CC4-5D6E-409C-BE32-E72D297353CC}">
                  <c16:uniqueId val="{00000000-78EF-4DFA-9B1A-DB7816FE2451}"/>
                </c:ext>
              </c:extLst>
            </c:dLbl>
            <c:dLbl>
              <c:idx val="1"/>
              <c:delete val="1"/>
              <c:extLst>
                <c:ext xmlns:c15="http://schemas.microsoft.com/office/drawing/2012/chart" uri="{CE6537A1-D6FC-4f65-9D91-7224C49458BB}"/>
                <c:ext xmlns:c16="http://schemas.microsoft.com/office/drawing/2014/chart" uri="{C3380CC4-5D6E-409C-BE32-E72D297353CC}">
                  <c16:uniqueId val="{00000001-78EF-4DFA-9B1A-DB7816FE2451}"/>
                </c:ext>
              </c:extLst>
            </c:dLbl>
            <c:dLbl>
              <c:idx val="2"/>
              <c:delete val="1"/>
              <c:extLst>
                <c:ext xmlns:c15="http://schemas.microsoft.com/office/drawing/2012/chart" uri="{CE6537A1-D6FC-4f65-9D91-7224C49458BB}"/>
                <c:ext xmlns:c16="http://schemas.microsoft.com/office/drawing/2014/chart" uri="{C3380CC4-5D6E-409C-BE32-E72D297353CC}">
                  <c16:uniqueId val="{00000002-78EF-4DFA-9B1A-DB7816FE2451}"/>
                </c:ext>
              </c:extLst>
            </c:dLbl>
            <c:dLbl>
              <c:idx val="3"/>
              <c:delete val="1"/>
              <c:extLst>
                <c:ext xmlns:c15="http://schemas.microsoft.com/office/drawing/2012/chart" uri="{CE6537A1-D6FC-4f65-9D91-7224C49458BB}"/>
                <c:ext xmlns:c16="http://schemas.microsoft.com/office/drawing/2014/chart" uri="{C3380CC4-5D6E-409C-BE32-E72D297353CC}">
                  <c16:uniqueId val="{00000003-78EF-4DFA-9B1A-DB7816FE2451}"/>
                </c:ext>
              </c:extLst>
            </c:dLbl>
            <c:dLbl>
              <c:idx val="4"/>
              <c:delete val="1"/>
              <c:extLst>
                <c:ext xmlns:c15="http://schemas.microsoft.com/office/drawing/2012/chart" uri="{CE6537A1-D6FC-4f65-9D91-7224C49458BB}"/>
                <c:ext xmlns:c16="http://schemas.microsoft.com/office/drawing/2014/chart" uri="{C3380CC4-5D6E-409C-BE32-E72D297353CC}">
                  <c16:uniqueId val="{00000004-78EF-4DFA-9B1A-DB7816FE2451}"/>
                </c:ext>
              </c:extLst>
            </c:dLbl>
            <c:dLbl>
              <c:idx val="5"/>
              <c:delete val="1"/>
              <c:extLst>
                <c:ext xmlns:c15="http://schemas.microsoft.com/office/drawing/2012/chart" uri="{CE6537A1-D6FC-4f65-9D91-7224C49458BB}"/>
                <c:ext xmlns:c16="http://schemas.microsoft.com/office/drawing/2014/chart" uri="{C3380CC4-5D6E-409C-BE32-E72D297353CC}">
                  <c16:uniqueId val="{00000005-78EF-4DFA-9B1A-DB7816FE2451}"/>
                </c:ext>
              </c:extLst>
            </c:dLbl>
            <c:dLbl>
              <c:idx val="6"/>
              <c:delete val="1"/>
              <c:extLst>
                <c:ext xmlns:c15="http://schemas.microsoft.com/office/drawing/2012/chart" uri="{CE6537A1-D6FC-4f65-9D91-7224C49458BB}"/>
                <c:ext xmlns:c16="http://schemas.microsoft.com/office/drawing/2014/chart" uri="{C3380CC4-5D6E-409C-BE32-E72D297353CC}">
                  <c16:uniqueId val="{00000006-78EF-4DFA-9B1A-DB7816FE2451}"/>
                </c:ext>
              </c:extLst>
            </c:dLbl>
            <c:dLbl>
              <c:idx val="7"/>
              <c:delete val="1"/>
              <c:extLst>
                <c:ext xmlns:c15="http://schemas.microsoft.com/office/drawing/2012/chart" uri="{CE6537A1-D6FC-4f65-9D91-7224C49458BB}"/>
                <c:ext xmlns:c16="http://schemas.microsoft.com/office/drawing/2014/chart" uri="{C3380CC4-5D6E-409C-BE32-E72D297353CC}">
                  <c16:uniqueId val="{00000007-78EF-4DFA-9B1A-DB7816FE2451}"/>
                </c:ext>
              </c:extLst>
            </c:dLbl>
            <c:dLbl>
              <c:idx val="8"/>
              <c:delete val="1"/>
              <c:extLst>
                <c:ext xmlns:c15="http://schemas.microsoft.com/office/drawing/2012/chart" uri="{CE6537A1-D6FC-4f65-9D91-7224C49458BB}"/>
                <c:ext xmlns:c16="http://schemas.microsoft.com/office/drawing/2014/chart" uri="{C3380CC4-5D6E-409C-BE32-E72D297353CC}">
                  <c16:uniqueId val="{00000008-78EF-4DFA-9B1A-DB7816FE2451}"/>
                </c:ext>
              </c:extLst>
            </c:dLbl>
            <c:dLbl>
              <c:idx val="9"/>
              <c:delete val="1"/>
              <c:extLst>
                <c:ext xmlns:c15="http://schemas.microsoft.com/office/drawing/2012/chart" uri="{CE6537A1-D6FC-4f65-9D91-7224C49458BB}"/>
                <c:ext xmlns:c16="http://schemas.microsoft.com/office/drawing/2014/chart" uri="{C3380CC4-5D6E-409C-BE32-E72D297353CC}">
                  <c16:uniqueId val="{00000009-78EF-4DFA-9B1A-DB7816FE2451}"/>
                </c:ext>
              </c:extLst>
            </c:dLbl>
            <c:dLbl>
              <c:idx val="10"/>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DIN Pro Regular" panose="020B0504020101020102" pitchFamily="34" charset="0"/>
                      <a:ea typeface="+mn-ea"/>
                      <a:cs typeface="DIN Pro Regular" panose="020B0504020101020102" pitchFamily="34" charset="0"/>
                    </a:defRPr>
                  </a:pPr>
                  <a:endParaRPr lang="fr-FR"/>
                </a:p>
              </c:txPr>
              <c:showLegendKey val="0"/>
              <c:showVal val="1"/>
              <c:showCatName val="0"/>
              <c:showSerName val="0"/>
              <c:showPercent val="0"/>
              <c:showBubbleSize val="0"/>
              <c:extLst>
                <c:ext xmlns:c16="http://schemas.microsoft.com/office/drawing/2014/chart" uri="{C3380CC4-5D6E-409C-BE32-E72D297353CC}">
                  <c16:uniqueId val="{0000000A-78EF-4DFA-9B1A-DB7816FE2451}"/>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DIN Pro Regular" panose="020B0504020101020102" pitchFamily="34" charset="0"/>
                    <a:ea typeface="+mn-ea"/>
                    <a:cs typeface="DIN Pro Regular" panose="020B0504020101020102" pitchFamily="34" charset="0"/>
                  </a:defRPr>
                </a:pPr>
                <a:endParaRPr lang="fr-FR"/>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Graphiques!$B$45:$B$55</c:f>
              <c:numCache>
                <c:formatCode>0.0%</c:formatCode>
                <c:ptCount val="11"/>
                <c:pt idx="0">
                  <c:v>0</c:v>
                </c:pt>
                <c:pt idx="1">
                  <c:v>0</c:v>
                </c:pt>
                <c:pt idx="2">
                  <c:v>0</c:v>
                </c:pt>
                <c:pt idx="3">
                  <c:v>0.23743595812084983</c:v>
                </c:pt>
                <c:pt idx="4">
                  <c:v>0.4312133242672187</c:v>
                </c:pt>
                <c:pt idx="5">
                  <c:v>0.52174773300464294</c:v>
                </c:pt>
                <c:pt idx="6">
                  <c:v>0.56785909655562739</c:v>
                </c:pt>
                <c:pt idx="7">
                  <c:v>0.59275422323488747</c:v>
                </c:pt>
                <c:pt idx="8">
                  <c:v>0.60674121571268969</c:v>
                </c:pt>
                <c:pt idx="9">
                  <c:v>0.61481929116363609</c:v>
                </c:pt>
                <c:pt idx="10">
                  <c:v>0.61448399953834887</c:v>
                </c:pt>
              </c:numCache>
            </c:numRef>
          </c:val>
          <c:smooth val="0"/>
          <c:extLst>
            <c:ext xmlns:c16="http://schemas.microsoft.com/office/drawing/2014/chart" uri="{C3380CC4-5D6E-409C-BE32-E72D297353CC}">
              <c16:uniqueId val="{0000000B-78EF-4DFA-9B1A-DB7816FE2451}"/>
            </c:ext>
          </c:extLst>
        </c:ser>
        <c:ser>
          <c:idx val="2"/>
          <c:order val="1"/>
          <c:tx>
            <c:strRef>
              <c:f>Graphiques!$C$44</c:f>
              <c:strCache>
                <c:ptCount val="1"/>
                <c:pt idx="0">
                  <c:v>TRI après impôts</c:v>
                </c:pt>
              </c:strCache>
            </c:strRef>
          </c:tx>
          <c:spPr>
            <a:ln w="28575" cap="rnd">
              <a:solidFill>
                <a:srgbClr val="D53738"/>
              </a:solidFill>
              <a:round/>
            </a:ln>
            <a:effectLst/>
          </c:spPr>
          <c:marker>
            <c:symbol val="none"/>
          </c:marker>
          <c:dLbls>
            <c:dLbl>
              <c:idx val="10"/>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DIN Pro Regular" panose="020B0504020101020102" pitchFamily="34" charset="0"/>
                      <a:ea typeface="+mn-ea"/>
                      <a:cs typeface="DIN Pro Regular" panose="020B0504020101020102" pitchFamily="34" charset="0"/>
                    </a:defRPr>
                  </a:pPr>
                  <a:endParaRPr lang="fr-FR"/>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C-78EF-4DFA-9B1A-DB7816FE2451}"/>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DIN Pro Regular" panose="020B0504020101020102" pitchFamily="34" charset="0"/>
                    <a:ea typeface="+mn-ea"/>
                    <a:cs typeface="DIN Pro Regular" panose="020B0504020101020102" pitchFamily="34" charset="0"/>
                  </a:defRPr>
                </a:pPr>
                <a:endParaRPr lang="fr-FR"/>
              </a:p>
            </c:txPr>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Graphiques!$C$45:$C$55</c:f>
              <c:numCache>
                <c:formatCode>0.0%</c:formatCode>
                <c:ptCount val="11"/>
                <c:pt idx="0">
                  <c:v>0</c:v>
                </c:pt>
                <c:pt idx="1">
                  <c:v>0</c:v>
                </c:pt>
                <c:pt idx="2">
                  <c:v>0</c:v>
                </c:pt>
                <c:pt idx="3">
                  <c:v>0</c:v>
                </c:pt>
                <c:pt idx="4">
                  <c:v>0.14848600971802162</c:v>
                </c:pt>
                <c:pt idx="5">
                  <c:v>0.23985804710957459</c:v>
                </c:pt>
                <c:pt idx="6">
                  <c:v>0.29143129029025872</c:v>
                </c:pt>
                <c:pt idx="7">
                  <c:v>0.32309136435798269</c:v>
                </c:pt>
                <c:pt idx="8">
                  <c:v>0.34321779686622955</c:v>
                </c:pt>
                <c:pt idx="9">
                  <c:v>0.3564387286020303</c:v>
                </c:pt>
                <c:pt idx="10">
                  <c:v>0.35510350556402925</c:v>
                </c:pt>
              </c:numCache>
            </c:numRef>
          </c:val>
          <c:smooth val="0"/>
          <c:extLst>
            <c:ext xmlns:c16="http://schemas.microsoft.com/office/drawing/2014/chart" uri="{C3380CC4-5D6E-409C-BE32-E72D297353CC}">
              <c16:uniqueId val="{0000000D-78EF-4DFA-9B1A-DB7816FE2451}"/>
            </c:ext>
          </c:extLst>
        </c:ser>
        <c:dLbls>
          <c:showLegendKey val="0"/>
          <c:showVal val="0"/>
          <c:showCatName val="0"/>
          <c:showSerName val="0"/>
          <c:showPercent val="0"/>
          <c:showBubbleSize val="0"/>
        </c:dLbls>
        <c:smooth val="0"/>
        <c:axId val="441422272"/>
        <c:axId val="441418008"/>
      </c:lineChart>
      <c:catAx>
        <c:axId val="44142227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75000"/>
                        <a:lumOff val="25000"/>
                      </a:schemeClr>
                    </a:solidFill>
                    <a:latin typeface="DIN Pro Bold" panose="020B0804020101020102" pitchFamily="34" charset="0"/>
                    <a:ea typeface="+mn-ea"/>
                    <a:cs typeface="DIN Pro Bold" panose="020B0804020101020102" pitchFamily="34" charset="0"/>
                  </a:defRPr>
                </a:pPr>
                <a:r>
                  <a:rPr lang="fr-FR">
                    <a:solidFill>
                      <a:schemeClr val="tx1">
                        <a:lumMod val="75000"/>
                        <a:lumOff val="25000"/>
                      </a:schemeClr>
                    </a:solidFill>
                    <a:latin typeface="DIN Pro Bold" panose="020B0804020101020102" pitchFamily="34" charset="0"/>
                    <a:cs typeface="DIN Pro Bold" panose="020B0804020101020102" pitchFamily="34" charset="0"/>
                  </a:rPr>
                  <a:t>Année du projet minier</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75000"/>
                      <a:lumOff val="25000"/>
                    </a:schemeClr>
                  </a:solidFill>
                  <a:latin typeface="DIN Pro Bold" panose="020B0804020101020102" pitchFamily="34" charset="0"/>
                  <a:ea typeface="+mn-ea"/>
                  <a:cs typeface="DIN Pro Bold" panose="020B0804020101020102" pitchFamily="34" charset="0"/>
                </a:defRPr>
              </a:pPr>
              <a:endParaRPr lang="fr-FR"/>
            </a:p>
          </c:txPr>
        </c:title>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DIN Pro Regular" panose="020B0504020101020102" pitchFamily="34" charset="0"/>
                <a:ea typeface="+mn-ea"/>
                <a:cs typeface="DIN Pro Regular" panose="020B0504020101020102" pitchFamily="34" charset="0"/>
              </a:defRPr>
            </a:pPr>
            <a:endParaRPr lang="fr-FR"/>
          </a:p>
        </c:txPr>
        <c:crossAx val="441418008"/>
        <c:crosses val="autoZero"/>
        <c:auto val="1"/>
        <c:lblAlgn val="ctr"/>
        <c:lblOffset val="100"/>
        <c:noMultiLvlLbl val="0"/>
      </c:catAx>
      <c:valAx>
        <c:axId val="441418008"/>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75000"/>
                    <a:lumOff val="25000"/>
                  </a:schemeClr>
                </a:solidFill>
                <a:latin typeface="DIN Pro Regular" panose="020B0504020101020102" pitchFamily="34" charset="0"/>
                <a:ea typeface="+mn-ea"/>
                <a:cs typeface="DIN Pro Regular" panose="020B0504020101020102" pitchFamily="34" charset="0"/>
              </a:defRPr>
            </a:pPr>
            <a:endParaRPr lang="fr-FR"/>
          </a:p>
        </c:txPr>
        <c:crossAx val="441422272"/>
        <c:crosses val="autoZero"/>
        <c:crossBetween val="between"/>
      </c:valAx>
      <c:spPr>
        <a:noFill/>
        <a:ln w="25400">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DIN Pro Regular" panose="020B0504020101020102" pitchFamily="34" charset="0"/>
              <a:ea typeface="+mn-ea"/>
              <a:cs typeface="DIN Pro Regular" panose="020B0504020101020102" pitchFamily="34" charset="0"/>
            </a:defRPr>
          </a:pPr>
          <a:endParaRPr lang="fr-FR"/>
        </a:p>
      </c:txPr>
    </c:legend>
    <c:plotVisOnly val="1"/>
    <c:dispBlanksAs val="gap"/>
    <c:showDLblsOverMax val="0"/>
  </c:chart>
  <c:spPr>
    <a:solidFill>
      <a:schemeClr val="bg1"/>
    </a:solidFill>
    <a:ln w="9525" cap="flat" cmpd="sng" algn="ctr">
      <a:noFill/>
      <a:round/>
    </a:ln>
    <a:effectLst/>
  </c:spPr>
  <c:txPr>
    <a:bodyPr/>
    <a:lstStyle/>
    <a:p>
      <a:pPr>
        <a:defRPr/>
      </a:pPr>
      <a:endParaRPr lang="fr-F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204E32-8CEA-49A7-8F13-8EC164DB01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1019</Words>
  <Characters>4792</Characters>
  <Application>Microsoft Office Word</Application>
  <DocSecurity>0</DocSecurity>
  <Lines>129</Lines>
  <Paragraphs>86</Paragraphs>
  <ScaleCrop>false</ScaleCrop>
  <HeadingPairs>
    <vt:vector size="2" baseType="variant">
      <vt:variant>
        <vt:lpstr>Titre</vt:lpstr>
      </vt:variant>
      <vt:variant>
        <vt:i4>1</vt:i4>
      </vt:variant>
    </vt:vector>
  </HeadingPairs>
  <TitlesOfParts>
    <vt:vector size="1" baseType="lpstr">
      <vt:lpstr>Enseignement à distance : canevas</vt:lpstr>
    </vt:vector>
  </TitlesOfParts>
  <Company>UdA</Company>
  <LinksUpToDate>false</LinksUpToDate>
  <CharactersWithSpaces>5725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Enseignement à distance : canevas</dc:title>
  <dc:creator>DIRECTION NATIONALE DU PLAN</dc:creator>
  <cp:lastModifiedBy>Melanie HUREL</cp:lastModifiedBy>
  <cp:revision>3</cp:revision>
  <dcterms:created xsi:type="dcterms:W3CDTF">2021-01-04T11:02:00Z</dcterms:created>
  <dcterms:modified xsi:type="dcterms:W3CDTF">2021-01-04T11:22:00Z</dcterms:modified>
</cp:coreProperties>
</file>