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7C6A34">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7C6A34">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7C6A34">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7C6A34">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7C6A34">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7C6A34">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7C6A34">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7C6A34">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7C6A34">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7C6A34">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7C6A34">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7C6A34">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7C6A34">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7C6A34">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7C6A34">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7C6A34">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7C6A34">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7C6A34">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7C6A34">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7C6A34">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7C6A34">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7C6A34">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7C6A34">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7C6A34">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7C6A34">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7C6A34">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7C6A34"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7C6A34">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7C6A34">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7C6A34">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7C6A34">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7C6A34">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7C6A34">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7C6A34">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7C6A34">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7C6A34">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7C6A34">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7C6A34">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0F14EA65" w:rsidR="00970478" w:rsidRPr="00DF73F9" w:rsidRDefault="00970478" w:rsidP="00970478">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537CFB48" w14:textId="3070E176" w:rsidR="00970478" w:rsidRPr="00090C56" w:rsidRDefault="00970478" w:rsidP="00970478">
            <w:pPr>
              <w:tabs>
                <w:tab w:val="right" w:leader="dot" w:pos="9062"/>
              </w:tabs>
              <w:spacing w:after="100"/>
              <w:jc w:val="left"/>
              <w:rPr>
                <w:noProof/>
                <w:color w:val="000066"/>
              </w:rPr>
            </w:pPr>
            <w:r w:rsidRPr="00090C56">
              <w:rPr>
                <w:noProof/>
                <w:color w:val="000066"/>
              </w:rPr>
              <w:t>Ecole Nationale de la Statistique et de l'Analyse Economique</w:t>
            </w:r>
          </w:p>
        </w:tc>
      </w:tr>
      <w:tr w:rsidR="00970478" w:rsidRPr="00AF3A5B" w14:paraId="27B2BF7C" w14:textId="77777777" w:rsidTr="00E56FD2">
        <w:trPr>
          <w:trHeight w:val="648"/>
        </w:trPr>
        <w:tc>
          <w:tcPr>
            <w:tcW w:w="1186" w:type="dxa"/>
            <w:vAlign w:val="center"/>
          </w:tcPr>
          <w:p w14:paraId="0FCC8B62" w14:textId="75862B41" w:rsidR="00970478" w:rsidRPr="00AF3A5B" w:rsidRDefault="00970478" w:rsidP="00970478">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350BFB41" w14:textId="37365014" w:rsidR="00970478" w:rsidRPr="00090C56" w:rsidRDefault="00970478" w:rsidP="00970478">
            <w:pPr>
              <w:tabs>
                <w:tab w:val="right" w:leader="dot" w:pos="9062"/>
              </w:tabs>
              <w:spacing w:after="100"/>
              <w:jc w:val="left"/>
              <w:rPr>
                <w:noProof/>
                <w:color w:val="000066"/>
              </w:rPr>
            </w:pPr>
            <w:r w:rsidRPr="00090C56">
              <w:rPr>
                <w:noProof/>
                <w:color w:val="000066"/>
              </w:rPr>
              <w:t>Enquête nationale sur le Secteur informel</w:t>
            </w:r>
          </w:p>
        </w:tc>
      </w:tr>
      <w:tr w:rsidR="00970478" w:rsidRPr="00AF3A5B" w14:paraId="16989903" w14:textId="77777777" w:rsidTr="00E56FD2">
        <w:trPr>
          <w:trHeight w:val="648"/>
        </w:trPr>
        <w:tc>
          <w:tcPr>
            <w:tcW w:w="1186" w:type="dxa"/>
            <w:vAlign w:val="center"/>
          </w:tcPr>
          <w:p w14:paraId="0F68CDD8" w14:textId="39AAE5A9" w:rsidR="00970478" w:rsidRPr="00AF3A5B" w:rsidRDefault="00970478" w:rsidP="00970478">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42AD8A1F" w14:textId="604097D3" w:rsidR="00970478" w:rsidRPr="00090C56" w:rsidRDefault="00970478" w:rsidP="00970478">
            <w:pPr>
              <w:tabs>
                <w:tab w:val="right" w:leader="dot" w:pos="9062"/>
              </w:tabs>
              <w:spacing w:after="100"/>
              <w:ind w:left="0"/>
              <w:jc w:val="left"/>
              <w:rPr>
                <w:noProof/>
                <w:color w:val="000066"/>
              </w:rPr>
            </w:pPr>
            <w:r w:rsidRPr="00090C56">
              <w:rPr>
                <w:noProof/>
                <w:color w:val="000066"/>
              </w:rPr>
              <w:t>Fonds monétaire internationale</w:t>
            </w:r>
            <w:r w:rsidR="00090C56">
              <w:rPr>
                <w:noProof/>
                <w:color w:val="000066"/>
              </w:rPr>
              <w:t xml:space="preserve"> </w:t>
            </w:r>
          </w:p>
        </w:tc>
      </w:tr>
      <w:tr w:rsidR="00970478" w:rsidRPr="00870152" w14:paraId="2140DB49" w14:textId="77777777" w:rsidTr="00E56FD2">
        <w:trPr>
          <w:trHeight w:val="648"/>
        </w:trPr>
        <w:tc>
          <w:tcPr>
            <w:tcW w:w="1186" w:type="dxa"/>
            <w:vAlign w:val="center"/>
          </w:tcPr>
          <w:p w14:paraId="7732C215" w14:textId="6C9C7B1A" w:rsidR="00970478" w:rsidRPr="00AF3A5B" w:rsidRDefault="00970478" w:rsidP="00970478">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714C9018" w14:textId="4A2B77E0" w:rsidR="00970478" w:rsidRPr="00AF3A5B" w:rsidRDefault="00970478" w:rsidP="00970478">
            <w:pPr>
              <w:tabs>
                <w:tab w:val="right" w:leader="dot" w:pos="9062"/>
              </w:tabs>
              <w:spacing w:after="10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970478" w:rsidRPr="00AF3A5B" w14:paraId="52F38D32" w14:textId="77777777" w:rsidTr="00E56FD2">
        <w:trPr>
          <w:trHeight w:val="648"/>
        </w:trPr>
        <w:tc>
          <w:tcPr>
            <w:tcW w:w="1186" w:type="dxa"/>
            <w:vAlign w:val="center"/>
          </w:tcPr>
          <w:p w14:paraId="50294F05" w14:textId="00A2A7B7" w:rsidR="00970478" w:rsidRPr="00AF3A5B" w:rsidRDefault="00970478" w:rsidP="00970478">
            <w:pPr>
              <w:tabs>
                <w:tab w:val="right" w:leader="dot" w:pos="9062"/>
              </w:tabs>
              <w:spacing w:after="100"/>
              <w:jc w:val="center"/>
              <w:rPr>
                <w:noProof/>
                <w:color w:val="000066"/>
                <w:lang w:val="en-US"/>
              </w:rPr>
            </w:pPr>
            <w:r>
              <w:rPr>
                <w:b/>
                <w:bCs/>
                <w:noProof/>
                <w:color w:val="000066"/>
                <w:lang w:val="en-US"/>
              </w:rPr>
              <w:t>OIT</w:t>
            </w:r>
          </w:p>
        </w:tc>
        <w:tc>
          <w:tcPr>
            <w:tcW w:w="7603" w:type="dxa"/>
            <w:vAlign w:val="center"/>
          </w:tcPr>
          <w:p w14:paraId="5BC941F0" w14:textId="7B08DB10" w:rsidR="00970478" w:rsidRPr="00C86FF5" w:rsidRDefault="00970478" w:rsidP="00970478">
            <w:pPr>
              <w:tabs>
                <w:tab w:val="right" w:leader="dot" w:pos="9062"/>
              </w:tabs>
              <w:spacing w:after="100"/>
              <w:ind w:left="0"/>
              <w:jc w:val="left"/>
              <w:rPr>
                <w:b/>
                <w:bCs/>
                <w:noProof/>
                <w:color w:val="000066"/>
                <w:lang w:val="en-US"/>
              </w:rPr>
            </w:pPr>
            <w:r w:rsidRPr="00090C56">
              <w:rPr>
                <w:noProof/>
                <w:color w:val="000066"/>
              </w:rPr>
              <w:t>Organisation internationale du travail</w:t>
            </w:r>
          </w:p>
        </w:tc>
      </w:tr>
      <w:tr w:rsidR="00970478" w:rsidRPr="00AF3A5B" w14:paraId="02AB2E17" w14:textId="77777777" w:rsidTr="00E56FD2">
        <w:trPr>
          <w:trHeight w:val="648"/>
        </w:trPr>
        <w:tc>
          <w:tcPr>
            <w:tcW w:w="1186" w:type="dxa"/>
            <w:vAlign w:val="center"/>
          </w:tcPr>
          <w:p w14:paraId="647C9E6A" w14:textId="1DC8EEE0" w:rsidR="00970478" w:rsidRPr="00C86FF5" w:rsidRDefault="00970478" w:rsidP="00970478">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1BD62DE3" w14:textId="4080C258" w:rsidR="00970478" w:rsidRPr="00C86FF5" w:rsidRDefault="00970478" w:rsidP="00970478">
            <w:pPr>
              <w:tabs>
                <w:tab w:val="right" w:leader="dot" w:pos="9062"/>
              </w:tabs>
              <w:spacing w:after="100"/>
              <w:jc w:val="left"/>
              <w:rPr>
                <w:b/>
                <w:bCs/>
                <w:noProof/>
                <w:color w:val="000066"/>
                <w:lang w:val="en-US"/>
              </w:rPr>
            </w:pPr>
            <w:r w:rsidRPr="00090C56">
              <w:rPr>
                <w:noProof/>
                <w:color w:val="000066"/>
              </w:rPr>
              <w:t>Produit intérieur brut</w:t>
            </w:r>
          </w:p>
        </w:tc>
      </w:tr>
      <w:tr w:rsidR="00970478" w:rsidRPr="00AF3A5B" w14:paraId="4E59CE43" w14:textId="77777777" w:rsidTr="00E56FD2">
        <w:trPr>
          <w:trHeight w:val="648"/>
        </w:trPr>
        <w:tc>
          <w:tcPr>
            <w:tcW w:w="1186" w:type="dxa"/>
            <w:vAlign w:val="center"/>
          </w:tcPr>
          <w:p w14:paraId="7C13ECE9" w14:textId="1F56F8AB"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374AE92" w14:textId="28F5DD6C" w:rsidR="00970478" w:rsidRPr="00C86FF5" w:rsidRDefault="00970478" w:rsidP="00970478">
            <w:pPr>
              <w:tabs>
                <w:tab w:val="right" w:leader="dot" w:pos="9062"/>
              </w:tabs>
              <w:spacing w:after="100"/>
              <w:jc w:val="left"/>
              <w:rPr>
                <w:b/>
                <w:bCs/>
                <w:noProof/>
                <w:color w:val="000066"/>
                <w:lang w:val="en-US"/>
              </w:rPr>
            </w:pPr>
          </w:p>
        </w:tc>
      </w:tr>
      <w:tr w:rsidR="00970478" w:rsidRPr="00AF3A5B" w14:paraId="43D8FA51" w14:textId="77777777" w:rsidTr="00E56FD2">
        <w:trPr>
          <w:trHeight w:val="675"/>
        </w:trPr>
        <w:tc>
          <w:tcPr>
            <w:tcW w:w="1186" w:type="dxa"/>
            <w:vAlign w:val="center"/>
          </w:tcPr>
          <w:p w14:paraId="664AB528" w14:textId="668E71BD"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5B14B10C" w14:textId="321C7E3C" w:rsidR="00970478" w:rsidRPr="00C86FF5" w:rsidRDefault="00970478" w:rsidP="00970478">
            <w:pPr>
              <w:tabs>
                <w:tab w:val="right" w:leader="dot" w:pos="9062"/>
              </w:tabs>
              <w:spacing w:after="100"/>
              <w:jc w:val="left"/>
              <w:rPr>
                <w:b/>
                <w:bCs/>
                <w:noProof/>
                <w:color w:val="000066"/>
                <w:lang w:val="en-US"/>
              </w:rPr>
            </w:pPr>
          </w:p>
        </w:tc>
      </w:tr>
      <w:tr w:rsidR="00970478" w:rsidRPr="00AF3A5B" w14:paraId="37C496DC" w14:textId="77777777" w:rsidTr="00E56FD2">
        <w:trPr>
          <w:trHeight w:val="648"/>
        </w:trPr>
        <w:tc>
          <w:tcPr>
            <w:tcW w:w="1186" w:type="dxa"/>
            <w:vAlign w:val="center"/>
          </w:tcPr>
          <w:p w14:paraId="7607D0E9" w14:textId="01AE53A7"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4E67288" w14:textId="3B5B1752" w:rsidR="00970478" w:rsidRPr="00C86FF5" w:rsidRDefault="00970478" w:rsidP="00970478">
            <w:pPr>
              <w:tabs>
                <w:tab w:val="right" w:leader="dot" w:pos="9062"/>
              </w:tabs>
              <w:spacing w:after="100"/>
              <w:ind w:left="0"/>
              <w:jc w:val="left"/>
              <w:rPr>
                <w:b/>
                <w:bCs/>
                <w:noProof/>
                <w:color w:val="000066"/>
                <w:lang w:val="en-US"/>
              </w:rPr>
            </w:pPr>
          </w:p>
        </w:tc>
      </w:tr>
      <w:tr w:rsidR="00970478" w:rsidRPr="00AF3A5B" w14:paraId="6884C5E7" w14:textId="77777777" w:rsidTr="00E56FD2">
        <w:trPr>
          <w:trHeight w:val="648"/>
        </w:trPr>
        <w:tc>
          <w:tcPr>
            <w:tcW w:w="1186" w:type="dxa"/>
            <w:vAlign w:val="center"/>
          </w:tcPr>
          <w:p w14:paraId="26D97859" w14:textId="17CBE80A"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7FEAA9E5" w14:textId="2C02D0EB" w:rsidR="00970478" w:rsidRPr="00C86FF5" w:rsidRDefault="00970478" w:rsidP="00970478">
            <w:pPr>
              <w:tabs>
                <w:tab w:val="right" w:leader="dot" w:pos="9062"/>
              </w:tabs>
              <w:spacing w:after="100"/>
              <w:jc w:val="left"/>
              <w:rPr>
                <w:b/>
                <w:bCs/>
                <w:noProof/>
                <w:color w:val="000066"/>
                <w:lang w:val="en-US"/>
              </w:rPr>
            </w:pPr>
          </w:p>
        </w:tc>
      </w:tr>
      <w:tr w:rsidR="00970478" w:rsidRPr="00AF3A5B" w14:paraId="7127C73C" w14:textId="77777777" w:rsidTr="00E56FD2">
        <w:trPr>
          <w:trHeight w:val="648"/>
        </w:trPr>
        <w:tc>
          <w:tcPr>
            <w:tcW w:w="1186" w:type="dxa"/>
            <w:vAlign w:val="center"/>
          </w:tcPr>
          <w:p w14:paraId="6E866FE9" w14:textId="04918E39"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36804019" w14:textId="6ADCC990" w:rsidR="00970478" w:rsidRPr="00C86FF5" w:rsidRDefault="00970478" w:rsidP="0097047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3"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mLW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ZXALR1tdPGNvW90NvTNsLZCFW3B+AxbbAenGzeU/4qeUGmuge4mSWtuvfzoP/jh8aKXkgFsD6/Nl&#10;B5ZTIjHEnE4Hw2FYM1EZjq4yVOy5ZXtuUbtmqbF3sEExuigGfy+PYml184QLbhFeRRMohm93ndAr&#10;S99tM1yRjC8W0Q1XiwF/qx4MC+ChXqH+j+0TWNMT63Hs7vRxw/T93nXqyTfcVHqx87oUoQUi6R2v&#10;vYJrKXZ0X/2w98716HVa9PNf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hMJi1h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4"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Vi+1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6"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7C6A34">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7C6A34">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7C6A34">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7C6A34">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7C6A34">
      <w:pPr>
        <w:pStyle w:val="Paragraphedeliste"/>
        <w:numPr>
          <w:ilvl w:val="0"/>
          <w:numId w:val="22"/>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7C6A34">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7C6A34">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7C6A34">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7C6A34">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7C6A34">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r w:rsidRPr="00870152">
        <w:rPr>
          <w:lang w:val="fr-FR"/>
        </w:rPr>
        <w:t>Notion de persistance de chocs</w:t>
      </w:r>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677" w:name="_Toc227589549"/>
      <w:bookmarkStart w:id="678" w:name="_Toc228530232"/>
      <w:r>
        <w:lastRenderedPageBreak/>
        <w:t>Revue théorique</w:t>
      </w:r>
      <w:bookmarkEnd w:id="677"/>
      <w:bookmarkEnd w:id="678"/>
    </w:p>
    <w:p w14:paraId="32792AB7" w14:textId="3AFD7297" w:rsidR="000B53CC" w:rsidRDefault="000B53CC" w:rsidP="007C6A34">
      <w:pPr>
        <w:pStyle w:val="Titre4"/>
        <w:numPr>
          <w:ilvl w:val="0"/>
          <w:numId w:val="18"/>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7BA733F4"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7C6A34"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7C6A34">
      <w:pPr>
        <w:pStyle w:val="Titre5"/>
        <w:numPr>
          <w:ilvl w:val="0"/>
          <w:numId w:val="19"/>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 xml:space="preserve">rend l'économie formelle peu attrayante en imposant des coûts d'entrée élevés pour se mettre en </w:t>
      </w:r>
      <w:r w:rsidRPr="009D49AF">
        <w:rPr>
          <w:rFonts w:cs="Times New Roman"/>
          <w:szCs w:val="24"/>
        </w:rPr>
        <w:lastRenderedPageBreak/>
        <w:t>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lastRenderedPageBreak/>
        <w:t>Réaction du secteur informel face à un choc du secteur informel</w:t>
      </w:r>
    </w:p>
    <w:p w14:paraId="217A1BF3" w14:textId="77777777" w:rsidR="00E263B9" w:rsidRPr="00E263B9" w:rsidRDefault="00E263B9" w:rsidP="007C6A34">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7C6A34">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7C6A34">
      <w:pPr>
        <w:pStyle w:val="Titre4"/>
        <w:numPr>
          <w:ilvl w:val="0"/>
          <w:numId w:val="7"/>
        </w:numPr>
        <w:rPr>
          <w:lang w:val="fr-FR" w:eastAsia="fr-FR"/>
        </w:rPr>
      </w:pPr>
      <w:bookmarkStart w:id="684" w:name="_Toc227589554"/>
      <w:r>
        <w:rPr>
          <w:lang w:val="fr-FR" w:eastAsia="fr-FR"/>
        </w:rPr>
        <w:lastRenderedPageBreak/>
        <w:t>Fondements méthodologiques et contributions pionnières</w:t>
      </w:r>
      <w:bookmarkEnd w:id="684"/>
    </w:p>
    <w:p w14:paraId="3FB518E2" w14:textId="2AC05827" w:rsidR="005B5DBC" w:rsidRDefault="004164AA" w:rsidP="005B5DBC">
      <w:pPr>
        <w:rPr>
          <w:lang w:val="fr-FR" w:eastAsia="fr-FR"/>
        </w:rPr>
      </w:pPr>
      <w:r>
        <w:rPr>
          <w:lang w:val="fr-FR" w:eastAsia="fr-FR"/>
        </w:rPr>
        <w:tab/>
      </w:r>
      <w:r w:rsidR="005B5DBC" w:rsidRPr="005B5DBC">
        <w:rPr>
          <w:lang w:val="fr-FR" w:eastAsia="fr-FR"/>
        </w:rPr>
        <w:t xml:space="preserve">Les travaux fondateurs de Nelson &amp; </w:t>
      </w:r>
      <w:proofErr w:type="spellStart"/>
      <w:r w:rsidR="005B5DBC" w:rsidRPr="005B5DBC">
        <w:rPr>
          <w:lang w:val="fr-FR" w:eastAsia="fr-FR"/>
        </w:rPr>
        <w:t>Plosser</w:t>
      </w:r>
      <w:proofErr w:type="spellEnd"/>
      <w:r w:rsidR="005B5DBC" w:rsidRPr="005B5DBC">
        <w:rPr>
          <w:lang w:val="fr-FR" w:eastAsia="fr-FR"/>
        </w:rPr>
        <w:t xml:space="preserve"> (1982)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t>Approche désagrégée et modélisation multivariée</w:t>
      </w:r>
      <w:bookmarkEnd w:id="685"/>
    </w:p>
    <w:p w14:paraId="0D4EB55D" w14:textId="300298ED"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(1992, 1993a, 1993b). Leur contribution est double :</w:t>
      </w:r>
    </w:p>
    <w:p w14:paraId="63B21983" w14:textId="77777777" w:rsidR="005B5DBC" w:rsidRPr="005B5DBC" w:rsidRDefault="005B5DBC" w:rsidP="007C6A34">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7C6A34">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w:t>
      </w:r>
      <w:r w:rsidRPr="005B5DBC">
        <w:rPr>
          <w:lang w:val="fr-FR" w:eastAsia="fr-FR"/>
        </w:rPr>
        <w:lastRenderedPageBreak/>
        <w:t xml:space="preserve">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02CAD3AD"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proofErr w:type="spellStart"/>
      <w:r w:rsidR="00EF706C" w:rsidRPr="00EF706C">
        <w:rPr>
          <w:lang w:val="fr-FR" w:eastAsia="fr-FR"/>
        </w:rPr>
        <w:t>Libanio</w:t>
      </w:r>
      <w:proofErr w:type="spellEnd"/>
      <w:r w:rsidR="00EF706C"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00EF706C" w:rsidRPr="00EF706C">
        <w:rPr>
          <w:lang w:val="fr-FR" w:eastAsia="fr-FR"/>
        </w:rPr>
        <w:t>Antonini</w:t>
      </w:r>
      <w:proofErr w:type="spellEnd"/>
      <w:r w:rsidR="00EF706C"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3A275483"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00EF706C" w:rsidRPr="00EF706C">
        <w:rPr>
          <w:lang w:val="fr-FR" w:eastAsia="fr-FR"/>
        </w:rPr>
        <w:t>Hamdad</w:t>
      </w:r>
      <w:proofErr w:type="spellEnd"/>
      <w:r w:rsidR="00EF706C"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7C6A34">
      <w:pPr>
        <w:pStyle w:val="Titre3"/>
        <w:numPr>
          <w:ilvl w:val="0"/>
          <w:numId w:val="15"/>
        </w:numPr>
        <w:tabs>
          <w:tab w:val="num" w:pos="360"/>
        </w:tabs>
      </w:pPr>
      <w:bookmarkStart w:id="690" w:name="_Toc227589558"/>
      <w:bookmarkStart w:id="691" w:name="_Toc228530235"/>
      <w:r>
        <w:t>Présentation des données d’application</w:t>
      </w:r>
      <w:bookmarkEnd w:id="690"/>
      <w:bookmarkEnd w:id="691"/>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7C6A34">
      <w:pPr>
        <w:pStyle w:val="Titre4"/>
        <w:numPr>
          <w:ilvl w:val="0"/>
          <w:numId w:val="10"/>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7C6A34">
      <w:pPr>
        <w:pStyle w:val="Paragraphedeliste"/>
        <w:numPr>
          <w:ilvl w:val="0"/>
          <w:numId w:val="9"/>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7C6A34">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7C6A34">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(Akaike Information Criterion) ou le BIC (Bayesian Information Criterion).</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7C6A34"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7C6A34"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7C6A34">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7C6A34">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7C6A34">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7C6A34"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7C6A34"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7C6A34">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7C6A34">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7C6A34"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7C6A34">
      <w:pPr>
        <w:pStyle w:val="Titre4"/>
        <w:numPr>
          <w:ilvl w:val="0"/>
          <w:numId w:val="11"/>
        </w:numPr>
        <w:rPr>
          <w:lang w:eastAsia="fr-FR"/>
        </w:rPr>
      </w:pPr>
      <w:bookmarkStart w:id="706" w:name="_Toc227589566"/>
      <w:r>
        <w:rPr>
          <w:lang w:eastAsia="fr-FR"/>
        </w:rPr>
        <w:t>Cadre théorique de l’approche multivariée</w:t>
      </w:r>
      <w:bookmarkEnd w:id="706"/>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 xml:space="preserve">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7C6A34"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7C6A34"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7C6A34"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7C6A34"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7C6A34">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7C6A34">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7C6A34">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7C6A34"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7C6A34"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7C6A34"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7C6A34"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7C6A34"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7C6A34" w:rsidP="007C6A34">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7C6A34">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7C6A34" w:rsidP="007C6A34">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7C6A34">
      <w:pPr>
        <w:pStyle w:val="Titre4"/>
        <w:numPr>
          <w:ilvl w:val="0"/>
          <w:numId w:val="12"/>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7C6A34"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7C6A34" w:rsidP="007C6A34">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7C6A34" w:rsidP="007C6A34">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7C6A34" w:rsidP="007C6A34">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7C6A34">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7C6A34"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7C6A34"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7C6A34">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7C6A34">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7C6A34">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4"/>
          <w:footerReference w:type="first" r:id="rId45"/>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7C6A34">
      <w:pPr>
        <w:pStyle w:val="Titre3"/>
        <w:numPr>
          <w:ilvl w:val="0"/>
          <w:numId w:val="8"/>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49019471"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7C6A34">
      <w:pPr>
        <w:pStyle w:val="Titre4"/>
        <w:numPr>
          <w:ilvl w:val="0"/>
          <w:numId w:val="16"/>
        </w:numPr>
        <w:rPr>
          <w:lang w:eastAsia="fr-SN"/>
        </w:rPr>
      </w:pPr>
      <w:bookmarkStart w:id="736" w:name="_Toc227589578"/>
      <w:r>
        <w:rPr>
          <w:lang w:eastAsia="fr-SN"/>
        </w:rPr>
        <w:t>Spécification économétrique des chocs</w:t>
      </w:r>
      <w:bookmarkEnd w:id="736"/>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r>
        <w:t>.</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r>
        <w:rPr>
          <w:lang w:eastAsia="fr-FR"/>
        </w:rPr>
        <w:t>Discussion</w:t>
      </w:r>
    </w:p>
    <w:p w14:paraId="63AE14FC" w14:textId="5D322EF6" w:rsidR="00F10D5B" w:rsidRDefault="00F10D5B" w:rsidP="007C6A34">
      <w:pPr>
        <w:pStyle w:val="Titre5"/>
        <w:numPr>
          <w:ilvl w:val="0"/>
          <w:numId w:val="25"/>
        </w:numPr>
        <w:rPr>
          <w:lang w:eastAsia="fr-FR"/>
        </w:rPr>
      </w:pPr>
      <w:r>
        <w:rPr>
          <w:lang w:eastAsia="fr-FR"/>
        </w:rPr>
        <w:t>Comparaison de la persistance obtenue avec d’autres secteurs</w:t>
      </w:r>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w:t>
      </w:r>
      <w:r w:rsidR="00B05BEF">
        <w:t>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w:t>
      </w:r>
      <w:r>
        <w:t xml:space="preserv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empreintes durables</w:t>
      </w:r>
      <w:r w:rsidR="00D714CC">
        <w:t>.</w:t>
      </w:r>
      <w:r w:rsidR="00161E98">
        <w:t xml:space="preserve"> </w:t>
      </w:r>
      <w:r w:rsidR="00161E98">
        <w:t>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w:t>
      </w:r>
      <w:r>
        <w:lastRenderedPageBreak/>
        <w:t xml:space="preserve">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r>
        <w:t>Absence de transmission des chocs du secteur formel vers le secteur informel</w:t>
      </w:r>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3"/>
          <w:footerReference w:type="default" r:id="rId54"/>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5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5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6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6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62"/>
          <w:headerReference w:type="first" r:id="rId6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0E231F69" w:rsidR="00B90EED" w:rsidRDefault="00B90EED" w:rsidP="00C4126B">
      <w:pPr>
        <w:rPr>
          <w:rFonts w:cs="Times New Roman"/>
          <w:sz w:val="22"/>
        </w:rPr>
      </w:pPr>
    </w:p>
    <w:sectPr w:rsidR="00B90EED" w:rsidSect="004E1389">
      <w:headerReference w:type="first" r:id="rId6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F6540" w14:textId="77777777" w:rsidR="007C6A34" w:rsidRDefault="007C6A34" w:rsidP="0069088A">
      <w:pPr>
        <w:spacing w:after="0" w:line="240" w:lineRule="auto"/>
      </w:pPr>
      <w:r>
        <w:separator/>
      </w:r>
    </w:p>
  </w:endnote>
  <w:endnote w:type="continuationSeparator" w:id="0">
    <w:p w14:paraId="387C23C6" w14:textId="77777777" w:rsidR="007C6A34" w:rsidRDefault="007C6A34"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835B5" w14:textId="77777777" w:rsidR="007C6A34" w:rsidRDefault="007C6A34" w:rsidP="0069088A">
      <w:pPr>
        <w:spacing w:after="0" w:line="240" w:lineRule="auto"/>
      </w:pPr>
      <w:r>
        <w:separator/>
      </w:r>
    </w:p>
  </w:footnote>
  <w:footnote w:type="continuationSeparator" w:id="0">
    <w:p w14:paraId="7CA6A7C9" w14:textId="77777777" w:rsidR="007C6A34" w:rsidRDefault="007C6A34"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4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4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0"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1"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2"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3"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4"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1"/>
  </w:num>
  <w:num w:numId="2">
    <w:abstractNumId w:val="9"/>
  </w:num>
  <w:num w:numId="3">
    <w:abstractNumId w:val="14"/>
  </w:num>
  <w:num w:numId="4">
    <w:abstractNumId w:val="0"/>
  </w:num>
  <w:num w:numId="5">
    <w:abstractNumId w:val="5"/>
  </w:num>
  <w:num w:numId="6">
    <w:abstractNumId w:val="6"/>
  </w:num>
  <w:num w:numId="7">
    <w:abstractNumId w:val="14"/>
    <w:lvlOverride w:ilvl="0">
      <w:startOverride w:val="1"/>
    </w:lvlOverride>
  </w:num>
  <w:num w:numId="8">
    <w:abstractNumId w:val="1"/>
    <w:lvlOverride w:ilvl="0">
      <w:startOverride w:val="1"/>
    </w:lvlOverride>
  </w:num>
  <w:num w:numId="9">
    <w:abstractNumId w:val="3"/>
  </w:num>
  <w:num w:numId="10">
    <w:abstractNumId w:val="14"/>
    <w:lvlOverride w:ilvl="0">
      <w:startOverride w:val="1"/>
    </w:lvlOverride>
  </w:num>
  <w:num w:numId="11">
    <w:abstractNumId w:val="14"/>
    <w:lvlOverride w:ilvl="0">
      <w:startOverride w:val="1"/>
    </w:lvlOverride>
  </w:num>
  <w:num w:numId="12">
    <w:abstractNumId w:val="14"/>
    <w:lvlOverride w:ilvl="0">
      <w:startOverride w:val="1"/>
    </w:lvlOverride>
  </w:num>
  <w:num w:numId="13">
    <w:abstractNumId w:val="4"/>
  </w:num>
  <w:num w:numId="14">
    <w:abstractNumId w:val="10"/>
  </w:num>
  <w:num w:numId="15">
    <w:abstractNumId w:val="1"/>
    <w:lvlOverride w:ilvl="0">
      <w:startOverride w:val="1"/>
    </w:lvlOverride>
  </w:num>
  <w:num w:numId="16">
    <w:abstractNumId w:val="14"/>
    <w:lvlOverride w:ilvl="0">
      <w:startOverride w:val="1"/>
    </w:lvlOverride>
  </w:num>
  <w:num w:numId="17">
    <w:abstractNumId w:val="8"/>
  </w:num>
  <w:num w:numId="18">
    <w:abstractNumId w:val="14"/>
    <w:lvlOverride w:ilvl="0">
      <w:startOverride w:val="1"/>
    </w:lvlOverride>
  </w:num>
  <w:num w:numId="19">
    <w:abstractNumId w:val="9"/>
    <w:lvlOverride w:ilvl="0">
      <w:startOverride w:val="1"/>
    </w:lvlOverride>
  </w:num>
  <w:num w:numId="20">
    <w:abstractNumId w:val="7"/>
  </w:num>
  <w:num w:numId="21">
    <w:abstractNumId w:val="11"/>
  </w:num>
  <w:num w:numId="22">
    <w:abstractNumId w:val="2"/>
  </w:num>
  <w:num w:numId="23">
    <w:abstractNumId w:val="12"/>
  </w:num>
  <w:num w:numId="24">
    <w:abstractNumId w:val="13"/>
  </w:num>
  <w:num w:numId="25">
    <w:abstractNumId w:val="9"/>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B89"/>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C6A34"/>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DA3"/>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E8"/>
    <w:rsid w:val="00E84903"/>
    <w:rsid w:val="00E8624F"/>
    <w:rsid w:val="00E8715E"/>
    <w:rsid w:val="00E87173"/>
    <w:rsid w:val="00E87608"/>
    <w:rsid w:val="00E87ED1"/>
    <w:rsid w:val="00E93820"/>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9.jpg"/><Relationship Id="rId50" Type="http://schemas.openxmlformats.org/officeDocument/2006/relationships/image" Target="media/image12.jpg"/><Relationship Id="rId55" Type="http://schemas.openxmlformats.org/officeDocument/2006/relationships/header" Target="header6.xml"/><Relationship Id="rId63"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6.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yperlink" Target="https://unstats.un.org/sdgs/report/2025/extended-report/Extended-Report-2025_Goal-8.pdf"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8.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0.jpg"/><Relationship Id="rId56" Type="http://schemas.openxmlformats.org/officeDocument/2006/relationships/footer" Target="footer8.xml"/><Relationship Id="rId64" Type="http://schemas.openxmlformats.org/officeDocument/2006/relationships/header" Target="header11.xml"/><Relationship Id="rId8" Type="http://schemas.openxmlformats.org/officeDocument/2006/relationships/image" Target="media/image1.png"/><Relationship Id="rId51" Type="http://schemas.openxmlformats.org/officeDocument/2006/relationships/image" Target="media/image13.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8.jpg"/><Relationship Id="rId59" Type="http://schemas.openxmlformats.org/officeDocument/2006/relationships/hyperlink" Target="https://www.wiego.org/informal-economy/statistical-picture/"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1.jpg"/><Relationship Id="rId57" Type="http://schemas.openxmlformats.org/officeDocument/2006/relationships/header" Target="header7.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4.jpg"/><Relationship Id="rId60" Type="http://schemas.openxmlformats.org/officeDocument/2006/relationships/hyperlink" Target="https://www.imf.org/-/media/files/publications/reo/afr/2017/may/pdf/french/sreo0517f-chap3.pdf"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1981</TotalTime>
  <Pages>60</Pages>
  <Words>16486</Words>
  <Characters>90673</Characters>
  <Application>Microsoft Office Word</Application>
  <DocSecurity>0</DocSecurity>
  <Lines>755</Lines>
  <Paragraphs>213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106946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45</cp:revision>
  <cp:lastPrinted>2026-05-04T09:33:00Z</cp:lastPrinted>
  <dcterms:created xsi:type="dcterms:W3CDTF">2026-04-27T15:53:00Z</dcterms:created>
  <dcterms:modified xsi:type="dcterms:W3CDTF">2026-05-10T13:33:00Z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