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A4298E">
      <w:pPr>
        <w:pStyle w:val="Paragraphedeliste"/>
        <w:numPr>
          <w:ilvl w:val="0"/>
          <w:numId w:val="50"/>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A4298E">
      <w:pPr>
        <w:pStyle w:val="Paragraphedeliste"/>
        <w:numPr>
          <w:ilvl w:val="0"/>
          <w:numId w:val="50"/>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683D25">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683D25">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683D25">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683D25">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683D25">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683D25">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683D25">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683D25">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683D25">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683D25">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683D25">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683D25">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683D25">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683D25">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683D25">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683D25">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683D25"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683D25">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683D25">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683D25">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683D25">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683D25">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683D25">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683D25">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683D25">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683D25">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683D25">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683D25">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F53246">
      <w:pPr>
        <w:pStyle w:val="Paragraphedeliste"/>
        <w:numPr>
          <w:ilvl w:val="0"/>
          <w:numId w:val="45"/>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F53246">
      <w:pPr>
        <w:pStyle w:val="Paragraphedeliste"/>
        <w:numPr>
          <w:ilvl w:val="0"/>
          <w:numId w:val="45"/>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A54E1">
      <w:pPr>
        <w:pStyle w:val="Paragraphedeliste"/>
        <w:numPr>
          <w:ilvl w:val="0"/>
          <w:numId w:val="46"/>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77" w:name="_Toc227589549"/>
      <w:bookmarkStart w:id="678" w:name="_Toc228530232"/>
      <w:r>
        <w:lastRenderedPageBreak/>
        <w:t>Revue théorique</w:t>
      </w:r>
      <w:bookmarkEnd w:id="677"/>
      <w:bookmarkEnd w:id="678"/>
    </w:p>
    <w:p w14:paraId="32792AB7" w14:textId="3AFD7297" w:rsidR="000B53CC" w:rsidRDefault="000B53CC" w:rsidP="00BC4FAA">
      <w:pPr>
        <w:pStyle w:val="Titre4"/>
        <w:numPr>
          <w:ilvl w:val="0"/>
          <w:numId w:val="42"/>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683D25"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 xml:space="preserve">rend l'économie formelle peu attrayante en imposant des coûts d'entrée élevés pour se mettre en </w:t>
      </w:r>
      <w:r w:rsidRPr="009D49AF">
        <w:rPr>
          <w:rFonts w:cs="Times New Roman"/>
          <w:szCs w:val="24"/>
        </w:rPr>
        <w:lastRenderedPageBreak/>
        <w:t>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684" w:name="_Toc227589554"/>
      <w:r>
        <w:rPr>
          <w:lang w:val="fr-FR" w:eastAsia="fr-FR"/>
        </w:rPr>
        <w:lastRenderedPageBreak/>
        <w:t>Fondements méthodologiques et contributions pionnières</w:t>
      </w:r>
      <w:bookmarkEnd w:id="684"/>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t>Approche désagrégée et modélisation multivariée</w:t>
      </w:r>
      <w:bookmarkEnd w:id="685"/>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690" w:name="_Toc227589558"/>
      <w:bookmarkStart w:id="691" w:name="_Toc228530235"/>
      <w:r>
        <w:t>Présentation des données d’application</w:t>
      </w:r>
      <w:bookmarkEnd w:id="690"/>
      <w:bookmarkEnd w:id="691"/>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683D25"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683D25"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1B1263">
      <w:pPr>
        <w:pStyle w:val="Paragraphedeliste"/>
        <w:numPr>
          <w:ilvl w:val="0"/>
          <w:numId w:val="48"/>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1B1263">
      <w:pPr>
        <w:pStyle w:val="Paragraphedeliste"/>
        <w:numPr>
          <w:ilvl w:val="0"/>
          <w:numId w:val="48"/>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1B1263">
      <w:pPr>
        <w:pStyle w:val="Paragraphedeliste"/>
        <w:numPr>
          <w:ilvl w:val="0"/>
          <w:numId w:val="48"/>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683D2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683D2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683D25"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706" w:name="_Toc227589566"/>
      <w:r>
        <w:rPr>
          <w:lang w:eastAsia="fr-FR"/>
        </w:rPr>
        <w:t>Cadre théorique de l’approche multivariée</w:t>
      </w:r>
      <w:bookmarkEnd w:id="706"/>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683D25"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683D25"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683D25"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683D2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0F0A0B">
      <w:pPr>
        <w:pStyle w:val="Paragraphedeliste"/>
        <w:numPr>
          <w:ilvl w:val="0"/>
          <w:numId w:val="48"/>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0F0A0B">
      <w:pPr>
        <w:pStyle w:val="Paragraphedeliste"/>
        <w:numPr>
          <w:ilvl w:val="0"/>
          <w:numId w:val="48"/>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0F0A0B">
      <w:pPr>
        <w:pStyle w:val="Paragraphedeliste"/>
        <w:numPr>
          <w:ilvl w:val="0"/>
          <w:numId w:val="48"/>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683D2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683D25"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683D2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683D2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683D25"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683D25" w:rsidP="00D931C5">
      <w:pPr>
        <w:pStyle w:val="Paragraphedeliste"/>
        <w:numPr>
          <w:ilvl w:val="0"/>
          <w:numId w:val="44"/>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D931C5">
      <w:pPr>
        <w:pStyle w:val="Paragraphedeliste"/>
        <w:numPr>
          <w:ilvl w:val="0"/>
          <w:numId w:val="44"/>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683D25" w:rsidP="00D931C5">
      <w:pPr>
        <w:pStyle w:val="Paragraphedeliste"/>
        <w:numPr>
          <w:ilvl w:val="0"/>
          <w:numId w:val="4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683D25"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683D25"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683D25"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683D25"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683D25"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683D25"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FC79E9">
      <w:pPr>
        <w:pStyle w:val="Paragraphedeliste"/>
        <w:numPr>
          <w:ilvl w:val="0"/>
          <w:numId w:val="37"/>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EA7C10">
      <w:pPr>
        <w:pStyle w:val="Titre4"/>
        <w:numPr>
          <w:ilvl w:val="0"/>
          <w:numId w:val="40"/>
        </w:numPr>
        <w:rPr>
          <w:lang w:eastAsia="fr-SN"/>
        </w:rPr>
      </w:pPr>
      <w:bookmarkStart w:id="736" w:name="_Toc227589578"/>
      <w:r>
        <w:rPr>
          <w:lang w:eastAsia="fr-SN"/>
        </w:rPr>
        <w:t>Spécification économétrique des chocs</w:t>
      </w:r>
      <w:bookmarkEnd w:id="736"/>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77777777" w:rsidR="00DC63BE" w:rsidRPr="00DC63BE" w:rsidRDefault="00DC63BE" w:rsidP="00DC63BE">
      <w:pPr>
        <w:rPr>
          <w:lang w:val="fr-FR" w:eastAsia="fr-FR"/>
        </w:rPr>
      </w:pPr>
      <w:r w:rsidRPr="00DC63BE">
        <w:rPr>
          <w:lang w:val="fr-FR" w:eastAsia="fr-FR"/>
        </w:rPr>
        <w:t>Cependant, cette dynamique varie selon les secteurs. L’agriculture, la manufacture et l’immobilier présentent, selon les trois modèles, des effets persistants dans le temps. À l’inverse, d’autres secteurs, tels que le transport, se caractérisent par des effets transitoires, c’est-à-dire de nature temporaire.</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6366223" w14:textId="6BF65B84" w:rsidR="007C5A6F" w:rsidRPr="00E45F54" w:rsidRDefault="007C5A6F" w:rsidP="007C5A6F">
      <w:pPr>
        <w:rPr>
          <w:rFonts w:eastAsiaTheme="minorEastAsia"/>
          <w:lang w:eastAsia="fr-FR"/>
        </w:rPr>
      </w:pPr>
    </w:p>
    <w:p w14:paraId="6ADC20BF" w14:textId="784BC658" w:rsidR="007C5A6F" w:rsidRDefault="007C5A6F"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5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5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6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6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62"/>
          <w:headerReference w:type="first" r:id="rId6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7C47C7AC" w:rsidR="00B90EED" w:rsidRDefault="00B90EED" w:rsidP="00C4126B">
      <w:pPr>
        <w:rPr>
          <w:rFonts w:cs="Times New Roman"/>
          <w:sz w:val="22"/>
        </w:rPr>
      </w:pPr>
    </w:p>
    <w:sectPr w:rsidR="00B90EED" w:rsidSect="004E1389">
      <w:headerReference w:type="first" r:id="rId6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BF71A0" w14:textId="77777777" w:rsidR="00683D25" w:rsidRDefault="00683D25" w:rsidP="0069088A">
      <w:pPr>
        <w:spacing w:after="0" w:line="240" w:lineRule="auto"/>
      </w:pPr>
      <w:r>
        <w:separator/>
      </w:r>
    </w:p>
  </w:endnote>
  <w:endnote w:type="continuationSeparator" w:id="0">
    <w:p w14:paraId="68AA830D" w14:textId="77777777" w:rsidR="00683D25" w:rsidRDefault="00683D25"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6A4C9" w14:textId="77777777" w:rsidR="00683D25" w:rsidRDefault="00683D25" w:rsidP="0069088A">
      <w:pPr>
        <w:spacing w:after="0" w:line="240" w:lineRule="auto"/>
      </w:pPr>
      <w:r>
        <w:separator/>
      </w:r>
    </w:p>
  </w:footnote>
  <w:footnote w:type="continuationSeparator" w:id="0">
    <w:p w14:paraId="1467B54E" w14:textId="77777777" w:rsidR="00683D25" w:rsidRDefault="00683D25"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4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4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11.5pt;height:11.5pt;visibility:visibl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7"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0" w15:restartNumberingAfterBreak="0">
    <w:nsid w:val="2C81139E"/>
    <w:multiLevelType w:val="multilevel"/>
    <w:tmpl w:val="ACDA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2"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3"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5"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8"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5"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6"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7"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29"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30" w15:restartNumberingAfterBreak="0">
    <w:nsid w:val="70623A55"/>
    <w:multiLevelType w:val="multilevel"/>
    <w:tmpl w:val="F850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32"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33"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4"/>
  </w:num>
  <w:num w:numId="4">
    <w:abstractNumId w:val="29"/>
  </w:num>
  <w:num w:numId="5">
    <w:abstractNumId w:val="19"/>
  </w:num>
  <w:num w:numId="6">
    <w:abstractNumId w:val="2"/>
  </w:num>
  <w:num w:numId="7">
    <w:abstractNumId w:val="5"/>
    <w:lvlOverride w:ilvl="0">
      <w:startOverride w:val="1"/>
    </w:lvlOverride>
  </w:num>
  <w:num w:numId="8">
    <w:abstractNumId w:val="33"/>
    <w:lvlOverride w:ilvl="0">
      <w:startOverride w:val="1"/>
    </w:lvlOverride>
  </w:num>
  <w:num w:numId="9">
    <w:abstractNumId w:val="33"/>
  </w:num>
  <w:num w:numId="10">
    <w:abstractNumId w:val="33"/>
    <w:lvlOverride w:ilvl="0">
      <w:startOverride w:val="1"/>
    </w:lvlOverride>
  </w:num>
  <w:num w:numId="11">
    <w:abstractNumId w:val="33"/>
    <w:lvlOverride w:ilvl="0">
      <w:startOverride w:val="1"/>
    </w:lvlOverride>
  </w:num>
  <w:num w:numId="12">
    <w:abstractNumId w:val="22"/>
  </w:num>
  <w:num w:numId="13">
    <w:abstractNumId w:val="18"/>
  </w:num>
  <w:num w:numId="14">
    <w:abstractNumId w:val="27"/>
  </w:num>
  <w:num w:numId="15">
    <w:abstractNumId w:val="23"/>
  </w:num>
  <w:num w:numId="16">
    <w:abstractNumId w:val="21"/>
  </w:num>
  <w:num w:numId="17">
    <w:abstractNumId w:val="3"/>
  </w:num>
  <w:num w:numId="18">
    <w:abstractNumId w:val="26"/>
  </w:num>
  <w:num w:numId="19">
    <w:abstractNumId w:val="15"/>
  </w:num>
  <w:num w:numId="20">
    <w:abstractNumId w:val="4"/>
  </w:num>
  <w:num w:numId="21">
    <w:abstractNumId w:val="7"/>
  </w:num>
  <w:num w:numId="22">
    <w:abstractNumId w:val="14"/>
  </w:num>
  <w:num w:numId="23">
    <w:abstractNumId w:val="1"/>
  </w:num>
  <w:num w:numId="24">
    <w:abstractNumId w:val="13"/>
  </w:num>
  <w:num w:numId="25">
    <w:abstractNumId w:val="0"/>
  </w:num>
  <w:num w:numId="26">
    <w:abstractNumId w:val="9"/>
  </w:num>
  <w:num w:numId="27">
    <w:abstractNumId w:val="16"/>
  </w:num>
  <w:num w:numId="28">
    <w:abstractNumId w:val="33"/>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8"/>
  </w:num>
  <w:num w:numId="32">
    <w:abstractNumId w:val="11"/>
  </w:num>
  <w:num w:numId="33">
    <w:abstractNumId w:val="5"/>
    <w:lvlOverride w:ilvl="0">
      <w:startOverride w:val="1"/>
    </w:lvlOverride>
  </w:num>
  <w:num w:numId="34">
    <w:abstractNumId w:val="33"/>
    <w:lvlOverride w:ilvl="0">
      <w:startOverride w:val="1"/>
    </w:lvlOverride>
  </w:num>
  <w:num w:numId="35">
    <w:abstractNumId w:val="33"/>
    <w:lvlOverride w:ilvl="0">
      <w:startOverride w:val="1"/>
    </w:lvlOverride>
  </w:num>
  <w:num w:numId="36">
    <w:abstractNumId w:val="33"/>
    <w:lvlOverride w:ilvl="0">
      <w:startOverride w:val="1"/>
    </w:lvlOverride>
  </w:num>
  <w:num w:numId="37">
    <w:abstractNumId w:val="12"/>
  </w:num>
  <w:num w:numId="38">
    <w:abstractNumId w:val="25"/>
  </w:num>
  <w:num w:numId="39">
    <w:abstractNumId w:val="5"/>
    <w:lvlOverride w:ilvl="0">
      <w:startOverride w:val="1"/>
    </w:lvlOverride>
  </w:num>
  <w:num w:numId="40">
    <w:abstractNumId w:val="33"/>
    <w:lvlOverride w:ilvl="0">
      <w:startOverride w:val="1"/>
    </w:lvlOverride>
  </w:num>
  <w:num w:numId="41">
    <w:abstractNumId w:val="20"/>
  </w:num>
  <w:num w:numId="42">
    <w:abstractNumId w:val="33"/>
    <w:lvlOverride w:ilvl="0">
      <w:startOverride w:val="1"/>
    </w:lvlOverride>
  </w:num>
  <w:num w:numId="43">
    <w:abstractNumId w:val="24"/>
    <w:lvlOverride w:ilvl="0">
      <w:startOverride w:val="1"/>
    </w:lvlOverride>
  </w:num>
  <w:num w:numId="44">
    <w:abstractNumId w:val="17"/>
  </w:num>
  <w:num w:numId="45">
    <w:abstractNumId w:val="28"/>
  </w:num>
  <w:num w:numId="46">
    <w:abstractNumId w:val="6"/>
  </w:num>
  <w:num w:numId="47">
    <w:abstractNumId w:val="30"/>
  </w:num>
  <w:num w:numId="48">
    <w:abstractNumId w:val="31"/>
  </w:num>
  <w:num w:numId="49">
    <w:abstractNumId w:val="10"/>
  </w:num>
  <w:num w:numId="50">
    <w:abstractNumId w:val="3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3D25"/>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F5"/>
    <w:rsid w:val="00854D3C"/>
    <w:rsid w:val="00854EC4"/>
    <w:rsid w:val="0085563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10.jpg"/><Relationship Id="rId50" Type="http://schemas.openxmlformats.org/officeDocument/2006/relationships/image" Target="media/image13.jpg"/><Relationship Id="rId55" Type="http://schemas.openxmlformats.org/officeDocument/2006/relationships/header" Target="header6.xml"/><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7.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yperlink" Target="https://unstats.un.org/sdgs/report/2025/extended-report/Extended-Report-2025_Goal-8.pd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8.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1.jpg"/><Relationship Id="rId56" Type="http://schemas.openxmlformats.org/officeDocument/2006/relationships/footer" Target="footer8.xml"/><Relationship Id="rId64"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image" Target="media/image1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9.jpg"/><Relationship Id="rId59" Type="http://schemas.openxmlformats.org/officeDocument/2006/relationships/hyperlink" Target="https://www.wiego.org/informal-economy/statistical-picture/"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2.jpg"/><Relationship Id="rId57" Type="http://schemas.openxmlformats.org/officeDocument/2006/relationships/header" Target="header7.xml"/><Relationship Id="rId10" Type="http://schemas.openxmlformats.org/officeDocument/2006/relationships/image" Target="media/image4.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5.jpg"/><Relationship Id="rId60" Type="http://schemas.openxmlformats.org/officeDocument/2006/relationships/hyperlink" Target="https://www.imf.org/-/media/files/publications/reo/afr/2017/may/pdf/french/sreo0517f-chap3.pdf"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1853</TotalTime>
  <Pages>59</Pages>
  <Words>15940</Words>
  <Characters>87673</Characters>
  <Application>Microsoft Office Word</Application>
  <DocSecurity>0</DocSecurity>
  <Lines>730</Lines>
  <Paragraphs>206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26</cp:revision>
  <cp:lastPrinted>2026-05-04T09:33:00Z</cp:lastPrinted>
  <dcterms:created xsi:type="dcterms:W3CDTF">2026-04-27T15:53:00Z</dcterms:created>
  <dcterms:modified xsi:type="dcterms:W3CDTF">2026-05-10T11:25:00Z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